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jc w:val="center"/>
      </w:pPr>
      <w:r>
        <w:rPr>
          <w:rFonts w:ascii="Calibri" w:cs="Calibri" w:eastAsia="Calibri" w:hAnsi="Calibri"/>
          <w:b/>
          <w:bCs/>
          <w:color w:val="1F3864"/>
          <w:sz w:val="44"/>
          <w:szCs w:val="44"/>
        </w:rPr>
        <w:t xml:space="preserve">SILVER INTELLIGENCE SYSTEM</w:t>
      </w:r>
    </w:p>
    <w:p>
      <w:pPr>
        <w:spacing w:after="40" w:before="0"/>
        <w:jc w:val="center"/>
      </w:pPr>
      <w:r>
        <w:rPr>
          <w:rFonts w:ascii="Calibri" w:cs="Calibri" w:eastAsia="Calibri" w:hAnsi="Calibri"/>
          <w:color w:val="2E74B5"/>
          <w:sz w:val="22"/>
          <w:szCs w:val="22"/>
        </w:rPr>
        <w:t xml:space="preserve">Daily External Report  |  April 9, 2026  |  Session 18</w:t>
      </w:r>
    </w:p>
    <w:p>
      <w:pPr>
        <w:spacing w:after="20" w:before="0"/>
        <w:jc w:val="center"/>
      </w:pPr>
      <w:r>
        <w:rPr>
          <w:rFonts w:ascii="Calibri" w:cs="Calibri" w:eastAsia="Calibri" w:hAnsi="Calibri"/>
          <w:i/>
          <w:iCs/>
          <w:color w:val="595959"/>
          <w:sz w:val="18"/>
          <w:szCs w:val="18"/>
        </w:rPr>
        <w:t xml:space="preserve">AI Systems: Claude · ChatGPT · DeepSeek</w:t>
      </w:r>
    </w:p>
    <w:p>
      <w:pPr>
        <w:pBdr>
          <w:bottom w:val="single" w:color="2E74B5" w:sz="6" w:space="1"/>
        </w:pBdr>
        <w:spacing w:after="140" w:before="140"/>
      </w:pPr>
      <w:r>
        <w:rPr>
          <w:rFonts w:ascii="Calibri" w:cs="Calibri" w:eastAsia="Calibri" w:hAnsi="Calibri"/>
          <w:sz w:val="20"/>
          <w:szCs w:val="20"/>
        </w:rPr>
        <w:t xml:space="preserve"/>
      </w:r>
    </w:p>
    <w:p>
      <w:pPr>
        <w:shd w:fill="1F3864" w:val="clear"/>
        <w:spacing w:after="80" w:before="200"/>
        <w:ind w:left="120" w:right="120"/>
      </w:pPr>
      <w:r>
        <w:rPr>
          <w:rFonts w:ascii="Calibri" w:cs="Calibri" w:eastAsia="Calibri" w:hAnsi="Calibri"/>
          <w:b/>
          <w:bCs/>
          <w:color w:val="FFFFFF"/>
          <w:sz w:val="22"/>
          <w:szCs w:val="22"/>
        </w:rPr>
        <w:t xml:space="preserve">SYSTEM SIGNAL</w:t>
      </w:r>
    </w:p>
    <w:p>
      <w:pPr>
        <w:spacing w:after="60" w:before="60"/>
      </w:pPr>
      <w:r>
        <w:rPr>
          <w:rFonts w:ascii="Calibri" w:cs="Calibri" w:eastAsia="Calibri" w:hAnsi="Calibri"/>
          <w:sz w:val="20"/>
          <w:szCs w:val="20"/>
        </w:rPr>
        <w:t xml:space="preserve"/>
      </w:r>
    </w:p>
    <w:p>
      <w:pPr>
        <w:spacing w:after="80" w:before="80"/>
      </w:pPr>
      <w:r>
        <w:rPr>
          <w:rFonts w:ascii="Calibri" w:cs="Calibri" w:eastAsia="Calibri" w:hAnsi="Calibri"/>
          <w:sz w:val="20"/>
          <w:szCs w:val="20"/>
        </w:rPr>
        <w:t xml:space="preserve">The Silver Intelligence System is detecting a market at a governance inflection point. Price has recovered above a key moving average, the gold-silver ratio has compressed to within a fraction of its disproof threshold, and open interest is expanding at its fastest pace in the current run series — yet the formal framework cannot yet respond because a macro shock classification remains active. The core conflict is between observable price behavior that increasingly resembles structural leadership and framework rules that require more sessions before that designation can apply. The next one to two sessions will determine whether the macro shock window closes cleanly — unlocking a full re-evaluation — or whether a new cross-asset disruption resets the clock.</w:t>
      </w:r>
    </w:p>
    <w:p>
      <w:pPr>
        <w:spacing w:after="60" w:before="60"/>
      </w:pPr>
      <w:r>
        <w:rPr>
          <w:rFonts w:ascii="Calibri" w:cs="Calibri" w:eastAsia="Calibri" w:hAnsi="Calibri"/>
          <w:sz w:val="20"/>
          <w:szCs w:val="20"/>
        </w:rPr>
        <w:t xml:space="preserve"/>
      </w:r>
    </w:p>
    <w:p>
      <w:pPr>
        <w:pBdr>
          <w:bottom w:val="single" w:color="2E74B5" w:sz="6" w:space="1"/>
        </w:pBdr>
        <w:spacing w:after="140" w:before="140"/>
      </w:pPr>
      <w:r>
        <w:rPr>
          <w:rFonts w:ascii="Calibri" w:cs="Calibri" w:eastAsia="Calibri" w:hAnsi="Calibri"/>
          <w:sz w:val="20"/>
          <w:szCs w:val="20"/>
        </w:rPr>
        <w:t xml:space="preserve"/>
      </w:r>
    </w:p>
    <w:p>
      <w:pPr>
        <w:shd w:fill="1F3864" w:val="clear"/>
        <w:spacing w:after="80" w:before="200"/>
        <w:ind w:left="120" w:right="120"/>
      </w:pPr>
      <w:r>
        <w:rPr>
          <w:rFonts w:ascii="Calibri" w:cs="Calibri" w:eastAsia="Calibri" w:hAnsi="Calibri"/>
          <w:b/>
          <w:bCs/>
          <w:color w:val="FFFFFF"/>
          <w:sz w:val="22"/>
          <w:szCs w:val="22"/>
        </w:rPr>
        <w:t xml:space="preserve">EXECUTIVE SUMMARY</w:t>
      </w:r>
    </w:p>
    <w:p>
      <w:pPr>
        <w:spacing w:after="60" w:before="60"/>
      </w:pPr>
      <w:r>
        <w:rPr>
          <w:rFonts w:ascii="Calibri" w:cs="Calibri" w:eastAsia="Calibri" w:hAnsi="Calibri"/>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DDDDDD" w:sz="4"/>
              <w:left w:val="single" w:color="DDDDDD" w:sz="4"/>
              <w:bottom w:val="single" w:color="DDDDDD" w:sz="4"/>
              <w:right w:val="single" w:color="DDDDDD" w:sz="4"/>
            </w:tcBorders>
            <w:shd w:fill="F2F2F2" w:val="clear"/>
            <w:tcMar>
              <w:top w:type="dxa" w:w="60"/>
              <w:left w:type="dxa" w:w="100"/>
              <w:bottom w:type="dxa" w:w="60"/>
              <w:right w:type="dxa" w:w="100"/>
            </w:tcMar>
          </w:tcPr>
          <w:p>
            <w:pPr>
              <w:spacing w:after="60" w:before="60"/>
            </w:pPr>
            <w:r>
              <w:rPr>
                <w:rFonts w:ascii="Calibri" w:cs="Calibri" w:eastAsia="Calibri" w:hAnsi="Calibri"/>
                <w:b/>
                <w:bCs/>
                <w:color w:val="1F3864"/>
                <w:sz w:val="19"/>
                <w:szCs w:val="19"/>
              </w:rPr>
              <w:t xml:space="preserve">Dominant Layer</w:t>
            </w:r>
          </w:p>
        </w:tc>
        <w:tc>
          <w:tcPr>
            <w:tcW w:type="dxa" w:w="6960"/>
            <w:tcBorders>
              <w:top w:val="single" w:color="DDDDDD" w:sz="4"/>
              <w:left w:val="single" w:color="DDDDDD" w:sz="4"/>
              <w:bottom w:val="single" w:color="DDDDDD" w:sz="4"/>
              <w:right w:val="single" w:color="DDDDDD" w:sz="4"/>
            </w:tcBorders>
            <w:tcMar>
              <w:top w:type="dxa" w:w="60"/>
              <w:left w:type="dxa" w:w="100"/>
              <w:bottom w:type="dxa" w:w="60"/>
              <w:right w:type="dxa" w:w="100"/>
            </w:tcMar>
          </w:tcPr>
          <w:p>
            <w:pPr>
              <w:spacing w:after="60" w:before="60"/>
            </w:pPr>
            <w:r>
              <w:rPr>
                <w:rFonts w:ascii="Calibri" w:cs="Calibri" w:eastAsia="Calibri" w:hAnsi="Calibri"/>
                <w:sz w:val="19"/>
                <w:szCs w:val="19"/>
              </w:rPr>
              <w:t xml:space="preserve">Price Behavior — Externally Driven, Under Stress (Macro Shock Active, Day 2)</w:t>
            </w:r>
          </w:p>
        </w:tc>
      </w:tr>
    </w:tbl>
    <w:p>
      <w:pPr>
        <w:spacing w:after="60" w:before="60"/>
      </w:pPr>
      <w:r>
        <w:rPr>
          <w:rFonts w:ascii="Calibri" w:cs="Calibri" w:eastAsia="Calibri" w:hAnsi="Calibri"/>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DDDDDD" w:sz="4"/>
              <w:left w:val="single" w:color="DDDDDD" w:sz="4"/>
              <w:bottom w:val="single" w:color="DDDDDD" w:sz="4"/>
              <w:right w:val="single" w:color="DDDDDD" w:sz="4"/>
            </w:tcBorders>
            <w:shd w:fill="F2F2F2" w:val="clear"/>
            <w:tcMar>
              <w:top w:type="dxa" w:w="60"/>
              <w:left w:type="dxa" w:w="100"/>
              <w:bottom w:type="dxa" w:w="60"/>
              <w:right w:type="dxa" w:w="100"/>
            </w:tcMar>
          </w:tcPr>
          <w:p>
            <w:pPr>
              <w:spacing w:after="60" w:before="60"/>
            </w:pPr>
            <w:r>
              <w:rPr>
                <w:rFonts w:ascii="Calibri" w:cs="Calibri" w:eastAsia="Calibri" w:hAnsi="Calibri"/>
                <w:b/>
                <w:bCs/>
                <w:color w:val="1F3864"/>
                <w:sz w:val="19"/>
                <w:szCs w:val="19"/>
              </w:rPr>
              <w:t xml:space="preserve">Directional Interpretation</w:t>
            </w:r>
          </w:p>
        </w:tc>
        <w:tc>
          <w:tcPr>
            <w:tcW w:type="dxa" w:w="6960"/>
            <w:tcBorders>
              <w:top w:val="single" w:color="DDDDDD" w:sz="4"/>
              <w:left w:val="single" w:color="DDDDDD" w:sz="4"/>
              <w:bottom w:val="single" w:color="DDDDDD" w:sz="4"/>
              <w:right w:val="single" w:color="DDDDDD" w:sz="4"/>
            </w:tcBorders>
            <w:tcMar>
              <w:top w:type="dxa" w:w="60"/>
              <w:left w:type="dxa" w:w="100"/>
              <w:bottom w:type="dxa" w:w="60"/>
              <w:right w:type="dxa" w:w="100"/>
            </w:tcMar>
          </w:tcPr>
          <w:p>
            <w:pPr>
              <w:spacing w:after="60" w:before="60"/>
            </w:pPr>
            <w:r>
              <w:rPr>
                <w:rFonts w:ascii="Calibri" w:cs="Calibri" w:eastAsia="Calibri" w:hAnsi="Calibri"/>
                <w:sz w:val="19"/>
                <w:szCs w:val="19"/>
              </w:rPr>
              <w:t xml:space="preserve">Provisional Bullish</w:t>
            </w:r>
          </w:p>
        </w:tc>
      </w:tr>
    </w:tbl>
    <w:p>
      <w:pPr>
        <w:spacing w:after="60" w:before="60"/>
      </w:pPr>
      <w:r>
        <w:rPr>
          <w:rFonts w:ascii="Calibri" w:cs="Calibri" w:eastAsia="Calibri" w:hAnsi="Calibri"/>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DDDDDD" w:sz="4"/>
              <w:left w:val="single" w:color="DDDDDD" w:sz="4"/>
              <w:bottom w:val="single" w:color="DDDDDD" w:sz="4"/>
              <w:right w:val="single" w:color="DDDDDD" w:sz="4"/>
            </w:tcBorders>
            <w:shd w:fill="F2F2F2" w:val="clear"/>
            <w:tcMar>
              <w:top w:type="dxa" w:w="60"/>
              <w:left w:type="dxa" w:w="100"/>
              <w:bottom w:type="dxa" w:w="60"/>
              <w:right w:type="dxa" w:w="100"/>
            </w:tcMar>
          </w:tcPr>
          <w:p>
            <w:pPr>
              <w:spacing w:after="60" w:before="60"/>
            </w:pPr>
            <w:r>
              <w:rPr>
                <w:rFonts w:ascii="Calibri" w:cs="Calibri" w:eastAsia="Calibri" w:hAnsi="Calibri"/>
                <w:b/>
                <w:bCs/>
                <w:color w:val="1F3864"/>
                <w:sz w:val="19"/>
                <w:szCs w:val="19"/>
              </w:rPr>
              <w:t xml:space="preserve">Confidence Level</w:t>
            </w:r>
          </w:p>
        </w:tc>
        <w:tc>
          <w:tcPr>
            <w:tcW w:type="dxa" w:w="6960"/>
            <w:tcBorders>
              <w:top w:val="single" w:color="DDDDDD" w:sz="4"/>
              <w:left w:val="single" w:color="DDDDDD" w:sz="4"/>
              <w:bottom w:val="single" w:color="DDDDDD" w:sz="4"/>
              <w:right w:val="single" w:color="DDDDDD" w:sz="4"/>
            </w:tcBorders>
            <w:tcMar>
              <w:top w:type="dxa" w:w="60"/>
              <w:left w:type="dxa" w:w="100"/>
              <w:bottom w:type="dxa" w:w="60"/>
              <w:right w:type="dxa" w:w="100"/>
            </w:tcMar>
          </w:tcPr>
          <w:p>
            <w:pPr>
              <w:spacing w:after="60" w:before="60"/>
            </w:pPr>
            <w:r>
              <w:rPr>
                <w:rFonts w:ascii="Calibri" w:cs="Calibri" w:eastAsia="Calibri" w:hAnsi="Calibri"/>
                <w:sz w:val="19"/>
                <w:szCs w:val="19"/>
              </w:rPr>
              <w:t xml:space="preserve">Low-to-Moderate</w:t>
            </w:r>
          </w:p>
        </w:tc>
      </w:tr>
    </w:tbl>
    <w:p>
      <w:pPr>
        <w:spacing w:after="60" w:before="60"/>
      </w:pPr>
      <w:r>
        <w:rPr>
          <w:rFonts w:ascii="Calibri" w:cs="Calibri" w:eastAsia="Calibri" w:hAnsi="Calibri"/>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DDDDDD" w:sz="4"/>
              <w:left w:val="single" w:color="DDDDDD" w:sz="4"/>
              <w:bottom w:val="single" w:color="DDDDDD" w:sz="4"/>
              <w:right w:val="single" w:color="DDDDDD" w:sz="4"/>
            </w:tcBorders>
            <w:shd w:fill="F2F2F2" w:val="clear"/>
            <w:tcMar>
              <w:top w:type="dxa" w:w="60"/>
              <w:left w:type="dxa" w:w="100"/>
              <w:bottom w:type="dxa" w:w="60"/>
              <w:right w:type="dxa" w:w="100"/>
            </w:tcMar>
          </w:tcPr>
          <w:p>
            <w:pPr>
              <w:spacing w:after="60" w:before="60"/>
            </w:pPr>
            <w:r>
              <w:rPr>
                <w:rFonts w:ascii="Calibri" w:cs="Calibri" w:eastAsia="Calibri" w:hAnsi="Calibri"/>
                <w:b/>
                <w:bCs/>
                <w:color w:val="1F3864"/>
                <w:sz w:val="19"/>
                <w:szCs w:val="19"/>
              </w:rPr>
              <w:t xml:space="preserve">System State</w:t>
            </w:r>
          </w:p>
        </w:tc>
        <w:tc>
          <w:tcPr>
            <w:tcW w:type="dxa" w:w="6960"/>
            <w:tcBorders>
              <w:top w:val="single" w:color="DDDDDD" w:sz="4"/>
              <w:left w:val="single" w:color="DDDDDD" w:sz="4"/>
              <w:bottom w:val="single" w:color="DDDDDD" w:sz="4"/>
              <w:right w:val="single" w:color="DDDDDD" w:sz="4"/>
            </w:tcBorders>
            <w:tcMar>
              <w:top w:type="dxa" w:w="60"/>
              <w:left w:type="dxa" w:w="100"/>
              <w:bottom w:type="dxa" w:w="60"/>
              <w:right w:type="dxa" w:w="100"/>
            </w:tcMar>
          </w:tcPr>
          <w:p>
            <w:pPr>
              <w:spacing w:after="60" w:before="60"/>
            </w:pPr>
            <w:r>
              <w:rPr>
                <w:rFonts w:ascii="Calibri" w:cs="Calibri" w:eastAsia="Calibri" w:hAnsi="Calibri"/>
                <w:sz w:val="19"/>
                <w:szCs w:val="19"/>
              </w:rPr>
              <w:t xml:space="preserve">Under Stress</w:t>
            </w:r>
          </w:p>
        </w:tc>
      </w:tr>
    </w:tbl>
    <w:p>
      <w:pPr>
        <w:spacing w:after="60" w:before="60"/>
      </w:pPr>
      <w:r>
        <w:rPr>
          <w:rFonts w:ascii="Calibri" w:cs="Calibri" w:eastAsia="Calibri" w:hAnsi="Calibri"/>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DDDDDD" w:sz="4"/>
              <w:left w:val="single" w:color="DDDDDD" w:sz="4"/>
              <w:bottom w:val="single" w:color="DDDDDD" w:sz="4"/>
              <w:right w:val="single" w:color="DDDDDD" w:sz="4"/>
            </w:tcBorders>
            <w:shd w:fill="F2F2F2" w:val="clear"/>
            <w:tcMar>
              <w:top w:type="dxa" w:w="60"/>
              <w:left w:type="dxa" w:w="100"/>
              <w:bottom w:type="dxa" w:w="60"/>
              <w:right w:type="dxa" w:w="100"/>
            </w:tcMar>
          </w:tcPr>
          <w:p>
            <w:pPr>
              <w:spacing w:after="60" w:before="60"/>
            </w:pPr>
            <w:r>
              <w:rPr>
                <w:rFonts w:ascii="Calibri" w:cs="Calibri" w:eastAsia="Calibri" w:hAnsi="Calibri"/>
                <w:b/>
                <w:bCs/>
                <w:color w:val="1F3864"/>
                <w:sz w:val="19"/>
                <w:szCs w:val="19"/>
              </w:rPr>
              <w:t xml:space="preserve">Macro Shock Status</w:t>
            </w:r>
          </w:p>
        </w:tc>
        <w:tc>
          <w:tcPr>
            <w:tcW w:type="dxa" w:w="6960"/>
            <w:tcBorders>
              <w:top w:val="single" w:color="DDDDDD" w:sz="4"/>
              <w:left w:val="single" w:color="DDDDDD" w:sz="4"/>
              <w:bottom w:val="single" w:color="DDDDDD" w:sz="4"/>
              <w:right w:val="single" w:color="DDDDDD" w:sz="4"/>
            </w:tcBorders>
            <w:tcMar>
              <w:top w:type="dxa" w:w="60"/>
              <w:left w:type="dxa" w:w="100"/>
              <w:bottom w:type="dxa" w:w="60"/>
              <w:right w:type="dxa" w:w="100"/>
            </w:tcMar>
          </w:tcPr>
          <w:p>
            <w:pPr>
              <w:spacing w:after="60" w:before="60"/>
            </w:pPr>
            <w:r>
              <w:rPr>
                <w:rFonts w:ascii="Calibri" w:cs="Calibri" w:eastAsia="Calibri" w:hAnsi="Calibri"/>
                <w:sz w:val="19"/>
                <w:szCs w:val="19"/>
              </w:rPr>
              <w:t xml:space="preserve">Active — Day 2 of 3–5 session exit window. Originated April 8. No new trigger on April 9. Earliest possible clean exit: after April 10 session.</w:t>
            </w:r>
          </w:p>
        </w:tc>
      </w:tr>
    </w:tbl>
    <w:p>
      <w:pPr>
        <w:spacing w:after="60" w:before="60"/>
      </w:pPr>
      <w:r>
        <w:rPr>
          <w:rFonts w:ascii="Calibri" w:cs="Calibri" w:eastAsia="Calibri" w:hAnsi="Calibri"/>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DDDDDD" w:sz="4"/>
              <w:left w:val="single" w:color="DDDDDD" w:sz="4"/>
              <w:bottom w:val="single" w:color="DDDDDD" w:sz="4"/>
              <w:right w:val="single" w:color="DDDDDD" w:sz="4"/>
            </w:tcBorders>
            <w:shd w:fill="F2F2F2" w:val="clear"/>
            <w:tcMar>
              <w:top w:type="dxa" w:w="60"/>
              <w:left w:type="dxa" w:w="100"/>
              <w:bottom w:type="dxa" w:w="60"/>
              <w:right w:type="dxa" w:w="100"/>
            </w:tcMar>
          </w:tcPr>
          <w:p>
            <w:pPr>
              <w:spacing w:after="60" w:before="60"/>
            </w:pPr>
            <w:r>
              <w:rPr>
                <w:rFonts w:ascii="Calibri" w:cs="Calibri" w:eastAsia="Calibri" w:hAnsi="Calibri"/>
                <w:b/>
                <w:bCs/>
                <w:color w:val="1F3864"/>
                <w:sz w:val="19"/>
                <w:szCs w:val="19"/>
              </w:rPr>
              <w:t xml:space="preserve">Disproof Status</w:t>
            </w:r>
          </w:p>
        </w:tc>
        <w:tc>
          <w:tcPr>
            <w:tcW w:type="dxa" w:w="6960"/>
            <w:tcBorders>
              <w:top w:val="single" w:color="DDDDDD" w:sz="4"/>
              <w:left w:val="single" w:color="DDDDDD" w:sz="4"/>
              <w:bottom w:val="single" w:color="DDDDDD" w:sz="4"/>
              <w:right w:val="single" w:color="DDDDDD" w:sz="4"/>
            </w:tcBorders>
            <w:tcMar>
              <w:top w:type="dxa" w:w="60"/>
              <w:left w:type="dxa" w:w="100"/>
              <w:bottom w:type="dxa" w:w="60"/>
              <w:right w:type="dxa" w:w="100"/>
            </w:tcMar>
          </w:tcPr>
          <w:p>
            <w:pPr>
              <w:spacing w:after="60" w:before="60"/>
            </w:pPr>
            <w:r>
              <w:rPr>
                <w:rFonts w:ascii="Calibri" w:cs="Calibri" w:eastAsia="Calibri" w:hAnsi="Calibri"/>
                <w:sz w:val="19"/>
                <w:szCs w:val="19"/>
              </w:rPr>
              <w:t xml:space="preserve">Condition 1 Active (price below $79.00) | Condition 2 Critical (GSR 63.05, threshold 63.00) | Condition 3 Reset</w:t>
            </w:r>
          </w:p>
        </w:tc>
      </w:tr>
    </w:tbl>
    <w:p>
      <w:pPr>
        <w:spacing w:after="60" w:before="60"/>
      </w:pPr>
      <w:r>
        <w:rPr>
          <w:rFonts w:ascii="Calibri" w:cs="Calibri" w:eastAsia="Calibri" w:hAnsi="Calibri"/>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DDDDDD" w:sz="4"/>
              <w:left w:val="single" w:color="DDDDDD" w:sz="4"/>
              <w:bottom w:val="single" w:color="DDDDDD" w:sz="4"/>
              <w:right w:val="single" w:color="DDDDDD" w:sz="4"/>
            </w:tcBorders>
            <w:shd w:fill="F2F2F2" w:val="clear"/>
            <w:tcMar>
              <w:top w:type="dxa" w:w="60"/>
              <w:left w:type="dxa" w:w="100"/>
              <w:bottom w:type="dxa" w:w="60"/>
              <w:right w:type="dxa" w:w="100"/>
            </w:tcMar>
          </w:tcPr>
          <w:p>
            <w:pPr>
              <w:spacing w:after="60" w:before="60"/>
            </w:pPr>
            <w:r>
              <w:rPr>
                <w:rFonts w:ascii="Calibri" w:cs="Calibri" w:eastAsia="Calibri" w:hAnsi="Calibri"/>
                <w:b/>
                <w:bCs/>
                <w:color w:val="1F3864"/>
                <w:sz w:val="19"/>
                <w:szCs w:val="19"/>
              </w:rPr>
              <w:t xml:space="preserve">Migration</w:t>
            </w:r>
          </w:p>
        </w:tc>
        <w:tc>
          <w:tcPr>
            <w:tcW w:type="dxa" w:w="6960"/>
            <w:tcBorders>
              <w:top w:val="single" w:color="DDDDDD" w:sz="4"/>
              <w:left w:val="single" w:color="DDDDDD" w:sz="4"/>
              <w:bottom w:val="single" w:color="DDDDDD" w:sz="4"/>
              <w:right w:val="single" w:color="DDDDDD" w:sz="4"/>
            </w:tcBorders>
            <w:tcMar>
              <w:top w:type="dxa" w:w="60"/>
              <w:left w:type="dxa" w:w="100"/>
              <w:bottom w:type="dxa" w:w="60"/>
              <w:right w:type="dxa" w:w="100"/>
            </w:tcMar>
          </w:tcPr>
          <w:p>
            <w:pPr>
              <w:spacing w:after="60" w:before="60"/>
            </w:pPr>
            <w:r>
              <w:rPr>
                <w:rFonts w:ascii="Calibri" w:cs="Calibri" w:eastAsia="Calibri" w:hAnsi="Calibri"/>
                <w:sz w:val="19"/>
                <w:szCs w:val="19"/>
              </w:rPr>
              <w:t xml:space="preserve">NO</w:t>
            </w:r>
          </w:p>
        </w:tc>
      </w:tr>
    </w:tbl>
    <w:p>
      <w:pPr>
        <w:spacing w:after="60" w:before="60"/>
      </w:pPr>
      <w:r>
        <w:rPr>
          <w:rFonts w:ascii="Calibri" w:cs="Calibri" w:eastAsia="Calibri" w:hAnsi="Calibri"/>
          <w:sz w:val="20"/>
          <w:szCs w:val="20"/>
        </w:rPr>
        <w:t xml:space="preserve"/>
      </w:r>
    </w:p>
    <w:p>
      <w:pPr>
        <w:pBdr>
          <w:bottom w:val="single" w:color="2E74B5" w:sz="6" w:space="1"/>
        </w:pBdr>
        <w:spacing w:after="140" w:before="140"/>
      </w:pPr>
      <w:r>
        <w:rPr>
          <w:rFonts w:ascii="Calibri" w:cs="Calibri" w:eastAsia="Calibri" w:hAnsi="Calibri"/>
          <w:sz w:val="20"/>
          <w:szCs w:val="20"/>
        </w:rPr>
        <w:t xml:space="preserve"/>
      </w:r>
    </w:p>
    <w:p>
      <w:pPr>
        <w:shd w:fill="1F3864" w:val="clear"/>
        <w:spacing w:after="80" w:before="200"/>
        <w:ind w:left="120" w:right="120"/>
      </w:pPr>
      <w:r>
        <w:rPr>
          <w:rFonts w:ascii="Calibri" w:cs="Calibri" w:eastAsia="Calibri" w:hAnsi="Calibri"/>
          <w:b/>
          <w:bCs/>
          <w:color w:val="FFFFFF"/>
          <w:sz w:val="22"/>
          <w:szCs w:val="22"/>
        </w:rPr>
        <w:t xml:space="preserve">WHAT HAPPENED</w:t>
      </w:r>
    </w:p>
    <w:p>
      <w:pPr>
        <w:spacing w:after="60" w:before="60"/>
      </w:pPr>
      <w:r>
        <w:rPr>
          <w:rFonts w:ascii="Calibri" w:cs="Calibri" w:eastAsia="Calibri" w:hAnsi="Calibri"/>
          <w:sz w:val="20"/>
          <w:szCs w:val="20"/>
        </w:rPr>
        <w:t xml:space="preserve"/>
      </w:r>
    </w:p>
    <w:p>
      <w:pPr>
        <w:spacing w:after="60" w:before="60"/>
      </w:pPr>
      <w:r>
        <w:rPr>
          <w:rFonts w:ascii="Calibri" w:cs="Calibri" w:eastAsia="Calibri" w:hAnsi="Calibri"/>
          <w:color w:val="000000"/>
          <w:sz w:val="20"/>
          <w:szCs w:val="20"/>
        </w:rPr>
        <w:t xml:space="preserve">April 9 was a materially different session from April 8. Where the prior session featured a dramatic seven-percent spike in futures and a thirteen-hundred-point Dow surge followed by sharp retracement, April 9 was quieter, steadier, and in several ways more structurally revealing. Silver closed at $75.67 — up 2.09% on the session — with an opening near $74.21 and a high of $76.04. By day's end it had closed above the EMA(20) of approximately $74.97 for the first time in the current bearish structure. The macro backdrop was supportive but muted: the Dow gained $275 (+0.58%) and the dollar softened about 0.31%. The macro tailwind was present but well below the threshold for an independent shock event.</w:t>
      </w:r>
    </w:p>
    <w:p>
      <w:pPr>
        <w:spacing w:after="60" w:before="60"/>
      </w:pPr>
      <w:r>
        <w:rPr>
          <w:rFonts w:ascii="Calibri" w:cs="Calibri" w:eastAsia="Calibri" w:hAnsi="Calibri"/>
          <w:sz w:val="20"/>
          <w:szCs w:val="20"/>
        </w:rPr>
        <w:t xml:space="preserve"/>
      </w:r>
    </w:p>
    <w:p>
      <w:pPr>
        <w:spacing w:after="60" w:before="60"/>
      </w:pPr>
      <w:r>
        <w:rPr>
          <w:rFonts w:ascii="Calibri" w:cs="Calibri" w:eastAsia="Calibri" w:hAnsi="Calibri"/>
          <w:color w:val="000000"/>
          <w:sz w:val="20"/>
          <w:szCs w:val="20"/>
        </w:rPr>
        <w:t xml:space="preserve">The gold-silver ratio compressed to 63.05 on a closing basis — down 0.64 on the session — and now sits within five hundredths of the framework's Disproof Condition 2 threshold at 63.00. A single additional session of silver outperformance would cross that line. Miners were the notable feature of the session in a different way: HUI gained only 0.29% and SILJ only 0.10%, both substantially underperforming silver's 2.09% move and even lagging the broader equity market. This was the first session in the current run series where silver led miners by a margin of this magnitude. Under normal framework conditions, that pattern would initiate a Day 1 evaluation for the Speculative Capital layer. With Macro Shock still active, it cannot.</w:t>
      </w:r>
    </w:p>
    <w:p>
      <w:pPr>
        <w:spacing w:after="60" w:before="60"/>
      </w:pPr>
      <w:r>
        <w:rPr>
          <w:rFonts w:ascii="Calibri" w:cs="Calibri" w:eastAsia="Calibri" w:hAnsi="Calibri"/>
          <w:sz w:val="20"/>
          <w:szCs w:val="20"/>
        </w:rPr>
        <w:t xml:space="preserve"/>
      </w:r>
    </w:p>
    <w:p>
      <w:pPr>
        <w:spacing w:after="60" w:before="60"/>
      </w:pPr>
      <w:r>
        <w:rPr>
          <w:rFonts w:ascii="Calibri" w:cs="Calibri" w:eastAsia="Calibri" w:hAnsi="Calibri"/>
          <w:color w:val="000000"/>
          <w:sz w:val="20"/>
          <w:szCs w:val="20"/>
        </w:rPr>
        <w:t xml:space="preserve">Open interest expanded by 6,555 contracts — the largest single-day increase in the current run series — with the July contract gaining nearly 5,900 contracts alone. The COMEX spread narrowed within the contango range, settling in the low-to-mid teen cents, closer to zero than at any prior point in the run but still not pricing delivery urgency. COMEX registered inventory declined 188,700 ounces while eligible inventory posted its first daily gain after an extended drawdown period — a single-session interruption, not a trend reversal.</w:t>
      </w:r>
    </w:p>
    <w:p>
      <w:pPr>
        <w:spacing w:after="60" w:before="60"/>
      </w:pPr>
      <w:r>
        <w:rPr>
          <w:rFonts w:ascii="Calibri" w:cs="Calibri" w:eastAsia="Calibri" w:hAnsi="Calibri"/>
          <w:sz w:val="20"/>
          <w:szCs w:val="20"/>
        </w:rPr>
        <w:t xml:space="preserve"/>
      </w:r>
    </w:p>
    <w:p>
      <w:pPr>
        <w:pBdr>
          <w:bottom w:val="single" w:color="2E74B5" w:sz="6" w:space="1"/>
        </w:pBdr>
        <w:spacing w:after="140" w:before="140"/>
      </w:pPr>
      <w:r>
        <w:rPr>
          <w:rFonts w:ascii="Calibri" w:cs="Calibri" w:eastAsia="Calibri" w:hAnsi="Calibri"/>
          <w:sz w:val="20"/>
          <w:szCs w:val="20"/>
        </w:rPr>
        <w:t xml:space="preserve"/>
      </w:r>
    </w:p>
    <w:p>
      <w:pPr>
        <w:shd w:fill="1F3864" w:val="clear"/>
        <w:spacing w:after="80" w:before="200"/>
        <w:ind w:left="120" w:right="120"/>
      </w:pPr>
      <w:r>
        <w:rPr>
          <w:rFonts w:ascii="Calibri" w:cs="Calibri" w:eastAsia="Calibri" w:hAnsi="Calibri"/>
          <w:b/>
          <w:bCs/>
          <w:color w:val="FFFFFF"/>
          <w:sz w:val="22"/>
          <w:szCs w:val="22"/>
        </w:rPr>
        <w:t xml:space="preserve">WHAT MATTERS NOW</w:t>
      </w:r>
    </w:p>
    <w:p>
      <w:pPr>
        <w:spacing w:after="60" w:before="60"/>
      </w:pPr>
      <w:r>
        <w:rPr>
          <w:rFonts w:ascii="Calibri" w:cs="Calibri" w:eastAsia="Calibri" w:hAnsi="Calibri"/>
          <w:sz w:val="20"/>
          <w:szCs w:val="20"/>
        </w:rPr>
        <w:t xml:space="preserve"/>
      </w:r>
    </w:p>
    <w:p>
      <w:pPr>
        <w:pBdr>
          <w:bottom w:val="single" w:color="2E74B5" w:sz="4" w:space="1"/>
        </w:pBdr>
        <w:spacing w:after="60" w:before="160"/>
      </w:pPr>
      <w:r>
        <w:rPr>
          <w:rFonts w:ascii="Calibri" w:cs="Calibri" w:eastAsia="Calibri" w:hAnsi="Calibri"/>
          <w:b/>
          <w:bCs/>
          <w:color w:val="2E74B5"/>
          <w:sz w:val="22"/>
          <w:szCs w:val="22"/>
        </w:rPr>
        <w:t xml:space="preserve">The Macro Shock Exit Window</w:t>
      </w:r>
    </w:p>
    <w:p>
      <w:pPr>
        <w:spacing w:after="60" w:before="60"/>
      </w:pPr>
      <w:r>
        <w:rPr>
          <w:rFonts w:ascii="Calibri" w:cs="Calibri" w:eastAsia="Calibri" w:hAnsi="Calibri"/>
          <w:color w:val="000000"/>
          <w:sz w:val="20"/>
          <w:szCs w:val="20"/>
        </w:rPr>
        <w:t xml:space="preserve">The framework's macro shock protocol requires three to five sessions of layer-consistent behavior without cross-asset disruption before normal dominance evaluation can resume. April 9 is Day 2. April 10 is the earliest possible exit. If it passes without a new shock event, the system enters Day 3 and can begin re-evaluating the miner underperformance pattern and GSR proximity to threshold under standard rules. Every additional clean session shortens the buffer between the current governance state and a potential formal framework response.</w:t>
      </w:r>
    </w:p>
    <w:p>
      <w:pPr>
        <w:spacing w:after="60" w:before="60"/>
      </w:pPr>
      <w:r>
        <w:rPr>
          <w:rFonts w:ascii="Calibri" w:cs="Calibri" w:eastAsia="Calibri" w:hAnsi="Calibri"/>
          <w:sz w:val="20"/>
          <w:szCs w:val="20"/>
        </w:rPr>
        <w:t xml:space="preserve"/>
      </w:r>
    </w:p>
    <w:p>
      <w:pPr>
        <w:pBdr>
          <w:bottom w:val="single" w:color="2E74B5" w:sz="4" w:space="1"/>
        </w:pBdr>
        <w:spacing w:after="60" w:before="160"/>
      </w:pPr>
      <w:r>
        <w:rPr>
          <w:rFonts w:ascii="Calibri" w:cs="Calibri" w:eastAsia="Calibri" w:hAnsi="Calibri"/>
          <w:b/>
          <w:bCs/>
          <w:color w:val="2E74B5"/>
          <w:sz w:val="22"/>
          <w:szCs w:val="22"/>
        </w:rPr>
        <w:t xml:space="preserve">Disproof Condition 2 — One Session Away</w:t>
      </w:r>
    </w:p>
    <w:p>
      <w:pPr>
        <w:spacing w:after="60" w:before="60"/>
      </w:pPr>
      <w:r>
        <w:rPr>
          <w:rFonts w:ascii="Calibri" w:cs="Calibri" w:eastAsia="Calibri" w:hAnsi="Calibri"/>
          <w:color w:val="000000"/>
          <w:sz w:val="20"/>
          <w:szCs w:val="20"/>
        </w:rPr>
        <w:t xml:space="preserve">The GSR at 63.05 is the single most time-sensitive signal in the system right now. The framework's Disproof Condition 2 deactivates on a sustained close below 63.00. With gold near $4,765 and silver closing above $75, the intraday implied ratio at Kitco's close was approximately 63.3 — already compressing toward the line on an intraday basis while the StockCharts end-of-day reading registered 63.05. If silver outperforms gold again in the next session, Condition 2 deactivates. That leaves only Condition 1 (price above $79.00) as an active disproof and materially weakens the framework's justification for the prior bearish directional interpretation.</w:t>
      </w:r>
    </w:p>
    <w:p>
      <w:pPr>
        <w:spacing w:after="60" w:before="60"/>
      </w:pPr>
      <w:r>
        <w:rPr>
          <w:rFonts w:ascii="Calibri" w:cs="Calibri" w:eastAsia="Calibri" w:hAnsi="Calibri"/>
          <w:sz w:val="20"/>
          <w:szCs w:val="20"/>
        </w:rPr>
        <w:t xml:space="preserve"/>
      </w:r>
    </w:p>
    <w:p>
      <w:pPr>
        <w:pBdr>
          <w:bottom w:val="single" w:color="2E74B5" w:sz="4" w:space="1"/>
        </w:pBdr>
        <w:spacing w:after="60" w:before="160"/>
      </w:pPr>
      <w:r>
        <w:rPr>
          <w:rFonts w:ascii="Calibri" w:cs="Calibri" w:eastAsia="Calibri" w:hAnsi="Calibri"/>
          <w:b/>
          <w:bCs/>
          <w:color w:val="2E74B5"/>
          <w:sz w:val="22"/>
          <w:szCs w:val="22"/>
        </w:rPr>
        <w:t xml:space="preserve">The Miner Divergence</w:t>
      </w:r>
    </w:p>
    <w:p>
      <w:pPr>
        <w:spacing w:after="60" w:before="60"/>
      </w:pPr>
      <w:r>
        <w:rPr>
          <w:rFonts w:ascii="Calibri" w:cs="Calibri" w:eastAsia="Calibri" w:hAnsi="Calibri"/>
          <w:color w:val="000000"/>
          <w:sz w:val="20"/>
          <w:szCs w:val="20"/>
        </w:rPr>
        <w:t xml:space="preserve">Silver outperforming both miners and the broader equity market in the same session is a pattern that, under standard framework rules, would initiate Day 1 of a two-session test for the Speculative Capital layer. The HUI-to-silver ratio declined 1.77% and the SILJ-to-silver ratio declined 1.95% on the day. This is not background noise — it is the first clear divergence of this type in the current run series. The framework cannot formally act on it while Macro Shock is active. What it does is preserve a Day 1 observation that becomes immediately relevant the moment the shock window closes.</w:t>
      </w:r>
    </w:p>
    <w:p>
      <w:pPr>
        <w:spacing w:after="60" w:before="60"/>
      </w:pPr>
      <w:r>
        <w:rPr>
          <w:rFonts w:ascii="Calibri" w:cs="Calibri" w:eastAsia="Calibri" w:hAnsi="Calibri"/>
          <w:sz w:val="20"/>
          <w:szCs w:val="20"/>
        </w:rPr>
        <w:t xml:space="preserve"/>
      </w:r>
    </w:p>
    <w:p>
      <w:pPr>
        <w:pBdr>
          <w:bottom w:val="single" w:color="2E74B5" w:sz="4" w:space="1"/>
        </w:pBdr>
        <w:spacing w:after="60" w:before="160"/>
      </w:pPr>
      <w:r>
        <w:rPr>
          <w:rFonts w:ascii="Calibri" w:cs="Calibri" w:eastAsia="Calibri" w:hAnsi="Calibri"/>
          <w:b/>
          <w:bCs/>
          <w:color w:val="2E74B5"/>
          <w:sz w:val="22"/>
          <w:szCs w:val="22"/>
        </w:rPr>
        <w:t xml:space="preserve">COMEX Structural Pressure Building</w:t>
      </w:r>
    </w:p>
    <w:p>
      <w:pPr>
        <w:spacing w:after="60" w:before="60"/>
      </w:pPr>
      <w:r>
        <w:rPr>
          <w:rFonts w:ascii="Calibri" w:cs="Calibri" w:eastAsia="Calibri" w:hAnsi="Calibri"/>
          <w:color w:val="000000"/>
          <w:sz w:val="20"/>
          <w:szCs w:val="20"/>
        </w:rPr>
        <w:t xml:space="preserve">The registered leverage ratio reached 7.53x — the highest in the current run series — against a registered base that declined again on April 9. The OI expansion of 6,555 contracts, dominated by back-month accumulation in July, signals growing market commitment across the curve rather than short-term positioning. The COMEX spread narrowed to the low teens in contango. None of these individually constitute a transmission signal, but the combination points to a structure that is tightening incrementally. COMEX is now the most dangerous competing layer in the system. If the spread compresses toward zero or inverts, the framework will face its most acute governance test of the current run.</w:t>
      </w:r>
    </w:p>
    <w:p>
      <w:pPr>
        <w:spacing w:after="60" w:before="60"/>
      </w:pPr>
      <w:r>
        <w:rPr>
          <w:rFonts w:ascii="Calibri" w:cs="Calibri" w:eastAsia="Calibri" w:hAnsi="Calibri"/>
          <w:sz w:val="20"/>
          <w:szCs w:val="20"/>
        </w:rPr>
        <w:t xml:space="preserve"/>
      </w:r>
    </w:p>
    <w:p>
      <w:pPr>
        <w:pBdr>
          <w:bottom w:val="single" w:color="2E74B5" w:sz="4" w:space="1"/>
        </w:pBdr>
        <w:spacing w:after="60" w:before="160"/>
      </w:pPr>
      <w:r>
        <w:rPr>
          <w:rFonts w:ascii="Calibri" w:cs="Calibri" w:eastAsia="Calibri" w:hAnsi="Calibri"/>
          <w:b/>
          <w:bCs/>
          <w:color w:val="2E74B5"/>
          <w:sz w:val="22"/>
          <w:szCs w:val="22"/>
        </w:rPr>
        <w:t xml:space="preserve">Physical Signals — Mixed, Not Decisive</w:t>
      </w:r>
    </w:p>
    <w:p>
      <w:pPr>
        <w:spacing w:after="60" w:before="60"/>
      </w:pPr>
      <w:r>
        <w:rPr>
          <w:rFonts w:ascii="Calibri" w:cs="Calibri" w:eastAsia="Calibri" w:hAnsi="Calibri"/>
          <w:color w:val="000000"/>
          <w:sz w:val="20"/>
          <w:szCs w:val="20"/>
        </w:rPr>
        <w:t xml:space="preserve">The China premium re-expanded to +11.92% on April 9, maintaining the East-West differential. However, SHFE inventory gained another 853,600 ounces, bringing the 30-day gain to 4.33 million ounces — a 51.91% increase over the period. LBMA vault data for end-March 2026 showed the first monthly increase in the current run series, at +1.6%. These developments do not eliminate the physical structural argument, but they meaningfully moderate the urgency component of that argument. The COMEX eligible inventory posted its first daily gain — a single session observation — while the 30-day total drawdown remains 20.19 million ounces.</w:t>
      </w:r>
    </w:p>
    <w:p>
      <w:pPr>
        <w:spacing w:after="60" w:before="60"/>
      </w:pPr>
      <w:r>
        <w:rPr>
          <w:rFonts w:ascii="Calibri" w:cs="Calibri" w:eastAsia="Calibri" w:hAnsi="Calibri"/>
          <w:sz w:val="20"/>
          <w:szCs w:val="20"/>
        </w:rPr>
        <w:t xml:space="preserve"/>
      </w:r>
    </w:p>
    <w:p>
      <w:pPr>
        <w:pBdr>
          <w:bottom w:val="single" w:color="2E74B5" w:sz="6" w:space="1"/>
        </w:pBdr>
        <w:spacing w:after="140" w:before="140"/>
      </w:pPr>
      <w:r>
        <w:rPr>
          <w:rFonts w:ascii="Calibri" w:cs="Calibri" w:eastAsia="Calibri" w:hAnsi="Calibri"/>
          <w:sz w:val="20"/>
          <w:szCs w:val="20"/>
        </w:rPr>
        <w:t xml:space="preserve"/>
      </w:r>
    </w:p>
    <w:p>
      <w:pPr>
        <w:shd w:fill="1F3864" w:val="clear"/>
        <w:spacing w:after="80" w:before="200"/>
        <w:ind w:left="120" w:right="120"/>
      </w:pPr>
      <w:r>
        <w:rPr>
          <w:rFonts w:ascii="Calibri" w:cs="Calibri" w:eastAsia="Calibri" w:hAnsi="Calibri"/>
          <w:b/>
          <w:bCs/>
          <w:color w:val="FFFFFF"/>
          <w:sz w:val="22"/>
          <w:szCs w:val="22"/>
        </w:rPr>
        <w:t xml:space="preserve">SYSTEM INTERPRETATION</w:t>
      </w:r>
    </w:p>
    <w:p>
      <w:pPr>
        <w:spacing w:after="60" w:before="60"/>
      </w:pPr>
      <w:r>
        <w:rPr>
          <w:rFonts w:ascii="Calibri" w:cs="Calibri" w:eastAsia="Calibri" w:hAnsi="Calibri"/>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DDDDDD" w:sz="4"/>
              <w:left w:val="single" w:color="DDDDDD" w:sz="4"/>
              <w:bottom w:val="single" w:color="DDDDDD" w:sz="4"/>
              <w:right w:val="single" w:color="DDDDDD" w:sz="4"/>
            </w:tcBorders>
            <w:shd w:fill="F2F2F2" w:val="clear"/>
            <w:tcMar>
              <w:top w:type="dxa" w:w="60"/>
              <w:left w:type="dxa" w:w="100"/>
              <w:bottom w:type="dxa" w:w="60"/>
              <w:right w:type="dxa" w:w="100"/>
            </w:tcMar>
          </w:tcPr>
          <w:p>
            <w:pPr>
              <w:spacing w:after="60" w:before="60"/>
            </w:pPr>
            <w:r>
              <w:rPr>
                <w:rFonts w:ascii="Calibri" w:cs="Calibri" w:eastAsia="Calibri" w:hAnsi="Calibri"/>
                <w:b/>
                <w:bCs/>
                <w:color w:val="1F3864"/>
                <w:sz w:val="19"/>
                <w:szCs w:val="19"/>
              </w:rPr>
              <w:t xml:space="preserve">Dominant Force</w:t>
            </w:r>
          </w:p>
        </w:tc>
        <w:tc>
          <w:tcPr>
            <w:tcW w:type="dxa" w:w="6960"/>
            <w:tcBorders>
              <w:top w:val="single" w:color="DDDDDD" w:sz="4"/>
              <w:left w:val="single" w:color="DDDDDD" w:sz="4"/>
              <w:bottom w:val="single" w:color="DDDDDD" w:sz="4"/>
              <w:right w:val="single" w:color="DDDDDD" w:sz="4"/>
            </w:tcBorders>
            <w:tcMar>
              <w:top w:type="dxa" w:w="60"/>
              <w:left w:type="dxa" w:w="100"/>
              <w:bottom w:type="dxa" w:w="60"/>
              <w:right w:type="dxa" w:w="100"/>
            </w:tcMar>
          </w:tcPr>
          <w:p>
            <w:pPr>
              <w:spacing w:after="60" w:before="60"/>
            </w:pPr>
            <w:r>
              <w:rPr>
                <w:rFonts w:ascii="Calibri" w:cs="Calibri" w:eastAsia="Calibri" w:hAnsi="Calibri"/>
                <w:sz w:val="19"/>
                <w:szCs w:val="19"/>
              </w:rPr>
              <w:t xml:space="preserve">Macro-aligned continuation of the April 8 repricing — steadier, more constructive character, but operating inside the same active shock window.</w:t>
            </w:r>
          </w:p>
        </w:tc>
      </w:tr>
    </w:tbl>
    <w:p>
      <w:pPr>
        <w:spacing w:after="60" w:before="60"/>
      </w:pPr>
      <w:r>
        <w:rPr>
          <w:rFonts w:ascii="Calibri" w:cs="Calibri" w:eastAsia="Calibri" w:hAnsi="Calibri"/>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DDDDDD" w:sz="4"/>
              <w:left w:val="single" w:color="DDDDDD" w:sz="4"/>
              <w:bottom w:val="single" w:color="DDDDDD" w:sz="4"/>
              <w:right w:val="single" w:color="DDDDDD" w:sz="4"/>
            </w:tcBorders>
            <w:shd w:fill="F2F2F2" w:val="clear"/>
            <w:tcMar>
              <w:top w:type="dxa" w:w="60"/>
              <w:left w:type="dxa" w:w="100"/>
              <w:bottom w:type="dxa" w:w="60"/>
              <w:right w:type="dxa" w:w="100"/>
            </w:tcMar>
          </w:tcPr>
          <w:p>
            <w:pPr>
              <w:spacing w:after="60" w:before="60"/>
            </w:pPr>
            <w:r>
              <w:rPr>
                <w:rFonts w:ascii="Calibri" w:cs="Calibri" w:eastAsia="Calibri" w:hAnsi="Calibri"/>
                <w:b/>
                <w:bCs/>
                <w:color w:val="1F3864"/>
                <w:sz w:val="19"/>
                <w:szCs w:val="19"/>
              </w:rPr>
              <w:t xml:space="preserve">What Is Confirmed</w:t>
            </w:r>
          </w:p>
        </w:tc>
        <w:tc>
          <w:tcPr>
            <w:tcW w:type="dxa" w:w="6960"/>
            <w:tcBorders>
              <w:top w:val="single" w:color="DDDDDD" w:sz="4"/>
              <w:left w:val="single" w:color="DDDDDD" w:sz="4"/>
              <w:bottom w:val="single" w:color="DDDDDD" w:sz="4"/>
              <w:right w:val="single" w:color="DDDDDD" w:sz="4"/>
            </w:tcBorders>
            <w:tcMar>
              <w:top w:type="dxa" w:w="60"/>
              <w:left w:type="dxa" w:w="100"/>
              <w:bottom w:type="dxa" w:w="60"/>
              <w:right w:type="dxa" w:w="100"/>
            </w:tcMar>
          </w:tcPr>
          <w:p>
            <w:pPr>
              <w:spacing w:after="60" w:before="60"/>
            </w:pPr>
            <w:r>
              <w:rPr>
                <w:rFonts w:ascii="Calibri" w:cs="Calibri" w:eastAsia="Calibri" w:hAnsi="Calibri"/>
                <w:sz w:val="19"/>
                <w:szCs w:val="19"/>
              </w:rPr>
              <w:t xml:space="preserve">Price above EMA(20). GSR within 0.05 of Disproof Condition 2 threshold. OI expanding across the curve. Silver leading miners — unprecedented in this run.</w:t>
            </w:r>
          </w:p>
        </w:tc>
      </w:tr>
    </w:tbl>
    <w:p>
      <w:pPr>
        <w:spacing w:after="60" w:before="60"/>
      </w:pPr>
      <w:r>
        <w:rPr>
          <w:rFonts w:ascii="Calibri" w:cs="Calibri" w:eastAsia="Calibri" w:hAnsi="Calibri"/>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DDDDDD" w:sz="4"/>
              <w:left w:val="single" w:color="DDDDDD" w:sz="4"/>
              <w:bottom w:val="single" w:color="DDDDDD" w:sz="4"/>
              <w:right w:val="single" w:color="DDDDDD" w:sz="4"/>
            </w:tcBorders>
            <w:shd w:fill="F2F2F2" w:val="clear"/>
            <w:tcMar>
              <w:top w:type="dxa" w:w="60"/>
              <w:left w:type="dxa" w:w="100"/>
              <w:bottom w:type="dxa" w:w="60"/>
              <w:right w:type="dxa" w:w="100"/>
            </w:tcMar>
          </w:tcPr>
          <w:p>
            <w:pPr>
              <w:spacing w:after="60" w:before="60"/>
            </w:pPr>
            <w:r>
              <w:rPr>
                <w:rFonts w:ascii="Calibri" w:cs="Calibri" w:eastAsia="Calibri" w:hAnsi="Calibri"/>
                <w:b/>
                <w:bCs/>
                <w:color w:val="1F3864"/>
                <w:sz w:val="19"/>
                <w:szCs w:val="19"/>
              </w:rPr>
              <w:t xml:space="preserve">What Is Not Yet Confirmed</w:t>
            </w:r>
          </w:p>
        </w:tc>
        <w:tc>
          <w:tcPr>
            <w:tcW w:type="dxa" w:w="6960"/>
            <w:tcBorders>
              <w:top w:val="single" w:color="DDDDDD" w:sz="4"/>
              <w:left w:val="single" w:color="DDDDDD" w:sz="4"/>
              <w:bottom w:val="single" w:color="DDDDDD" w:sz="4"/>
              <w:right w:val="single" w:color="DDDDDD" w:sz="4"/>
            </w:tcBorders>
            <w:tcMar>
              <w:top w:type="dxa" w:w="60"/>
              <w:left w:type="dxa" w:w="100"/>
              <w:bottom w:type="dxa" w:w="60"/>
              <w:right w:type="dxa" w:w="100"/>
            </w:tcMar>
          </w:tcPr>
          <w:p>
            <w:pPr>
              <w:spacing w:after="60" w:before="60"/>
            </w:pPr>
            <w:r>
              <w:rPr>
                <w:rFonts w:ascii="Calibri" w:cs="Calibri" w:eastAsia="Calibri" w:hAnsi="Calibri"/>
                <w:sz w:val="19"/>
                <w:szCs w:val="19"/>
              </w:rPr>
              <w:t xml:space="preserve">COMEX spread inversion or backwardation. Macro shock exit (Day 3 minimum). Non-macro-aligned miner leadership (Day 1 formal initiation). Price above $79.00.</w:t>
            </w:r>
          </w:p>
        </w:tc>
      </w:tr>
    </w:tbl>
    <w:p>
      <w:pPr>
        <w:spacing w:after="60" w:before="60"/>
      </w:pPr>
      <w:r>
        <w:rPr>
          <w:rFonts w:ascii="Calibri" w:cs="Calibri" w:eastAsia="Calibri" w:hAnsi="Calibri"/>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DDDDDD" w:sz="4"/>
              <w:left w:val="single" w:color="DDDDDD" w:sz="4"/>
              <w:bottom w:val="single" w:color="DDDDDD" w:sz="4"/>
              <w:right w:val="single" w:color="DDDDDD" w:sz="4"/>
            </w:tcBorders>
            <w:shd w:fill="F2F2F2" w:val="clear"/>
            <w:tcMar>
              <w:top w:type="dxa" w:w="60"/>
              <w:left w:type="dxa" w:w="100"/>
              <w:bottom w:type="dxa" w:w="60"/>
              <w:right w:type="dxa" w:w="100"/>
            </w:tcMar>
          </w:tcPr>
          <w:p>
            <w:pPr>
              <w:spacing w:after="60" w:before="60"/>
            </w:pPr>
            <w:r>
              <w:rPr>
                <w:rFonts w:ascii="Calibri" w:cs="Calibri" w:eastAsia="Calibri" w:hAnsi="Calibri"/>
                <w:b/>
                <w:bCs/>
                <w:color w:val="1F3864"/>
                <w:sz w:val="19"/>
                <w:szCs w:val="19"/>
              </w:rPr>
              <w:t xml:space="preserve">Where Consensus Exists</w:t>
            </w:r>
          </w:p>
        </w:tc>
        <w:tc>
          <w:tcPr>
            <w:tcW w:type="dxa" w:w="6960"/>
            <w:tcBorders>
              <w:top w:val="single" w:color="DDDDDD" w:sz="4"/>
              <w:left w:val="single" w:color="DDDDDD" w:sz="4"/>
              <w:bottom w:val="single" w:color="DDDDDD" w:sz="4"/>
              <w:right w:val="single" w:color="DDDDDD" w:sz="4"/>
            </w:tcBorders>
            <w:tcMar>
              <w:top w:type="dxa" w:w="60"/>
              <w:left w:type="dxa" w:w="100"/>
              <w:bottom w:type="dxa" w:w="60"/>
              <w:right w:type="dxa" w:w="100"/>
            </w:tcMar>
          </w:tcPr>
          <w:p>
            <w:pPr>
              <w:spacing w:after="60" w:before="60"/>
            </w:pPr>
            <w:r>
              <w:rPr>
                <w:rFonts w:ascii="Calibri" w:cs="Calibri" w:eastAsia="Calibri" w:hAnsi="Calibri"/>
                <w:sz w:val="19"/>
                <w:szCs w:val="19"/>
              </w:rPr>
              <w:t xml:space="preserve">All three AI systems agree: Price Behavior is dominant, Macro Shock is active, no migration is warranted, COMEX is the most dangerous competing layer, and the next one to two sessions are the highest-information window of the current run.</w:t>
            </w:r>
          </w:p>
        </w:tc>
      </w:tr>
    </w:tbl>
    <w:p>
      <w:pPr>
        <w:spacing w:after="60" w:before="60"/>
      </w:pPr>
      <w:r>
        <w:rPr>
          <w:rFonts w:ascii="Calibri" w:cs="Calibri" w:eastAsia="Calibri" w:hAnsi="Calibri"/>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DDDDDD" w:sz="4"/>
              <w:left w:val="single" w:color="DDDDDD" w:sz="4"/>
              <w:bottom w:val="single" w:color="DDDDDD" w:sz="4"/>
              <w:right w:val="single" w:color="DDDDDD" w:sz="4"/>
            </w:tcBorders>
            <w:shd w:fill="F2F2F2" w:val="clear"/>
            <w:tcMar>
              <w:top w:type="dxa" w:w="60"/>
              <w:left w:type="dxa" w:w="100"/>
              <w:bottom w:type="dxa" w:w="60"/>
              <w:right w:type="dxa" w:w="100"/>
            </w:tcMar>
          </w:tcPr>
          <w:p>
            <w:pPr>
              <w:spacing w:after="60" w:before="60"/>
            </w:pPr>
            <w:r>
              <w:rPr>
                <w:rFonts w:ascii="Calibri" w:cs="Calibri" w:eastAsia="Calibri" w:hAnsi="Calibri"/>
                <w:b/>
                <w:bCs/>
                <w:color w:val="1F3864"/>
                <w:sz w:val="19"/>
                <w:szCs w:val="19"/>
              </w:rPr>
              <w:t xml:space="preserve">Where Views Diverge</w:t>
            </w:r>
          </w:p>
        </w:tc>
        <w:tc>
          <w:tcPr>
            <w:tcW w:type="dxa" w:w="6960"/>
            <w:tcBorders>
              <w:top w:val="single" w:color="DDDDDD" w:sz="4"/>
              <w:left w:val="single" w:color="DDDDDD" w:sz="4"/>
              <w:bottom w:val="single" w:color="DDDDDD" w:sz="4"/>
              <w:right w:val="single" w:color="DDDDDD" w:sz="4"/>
            </w:tcBorders>
            <w:tcMar>
              <w:top w:type="dxa" w:w="60"/>
              <w:left w:type="dxa" w:w="100"/>
              <w:bottom w:type="dxa" w:w="60"/>
              <w:right w:type="dxa" w:w="100"/>
            </w:tcMar>
          </w:tcPr>
          <w:p>
            <w:pPr>
              <w:spacing w:after="60" w:before="60"/>
            </w:pPr>
            <w:r>
              <w:rPr>
                <w:rFonts w:ascii="Calibri" w:cs="Calibri" w:eastAsia="Calibri" w:hAnsi="Calibri"/>
                <w:sz w:val="19"/>
                <w:szCs w:val="19"/>
              </w:rPr>
              <w:t xml:space="preserve">The degree of urgency applied to the developing signals. Claude and the independent ChatGPT rerun treat the session as constructive continuation within an unresolved window. DeepSeek argues the content of April 9 already looks like early transition and that the framework risks being a lagging indicator. ChatGPT's synthesis places both views inside the same framework logic: the session is improving, but improvement inside an unresolved shock window does not equal confirmation.</w:t>
            </w:r>
          </w:p>
        </w:tc>
      </w:tr>
    </w:tbl>
    <w:p>
      <w:pPr>
        <w:spacing w:after="60" w:before="60"/>
      </w:pPr>
      <w:r>
        <w:rPr>
          <w:rFonts w:ascii="Calibri" w:cs="Calibri" w:eastAsia="Calibri" w:hAnsi="Calibri"/>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DDDDDD" w:sz="4"/>
              <w:left w:val="single" w:color="DDDDDD" w:sz="4"/>
              <w:bottom w:val="single" w:color="DDDDDD" w:sz="4"/>
              <w:right w:val="single" w:color="DDDDDD" w:sz="4"/>
            </w:tcBorders>
            <w:shd w:fill="F2F2F2" w:val="clear"/>
            <w:tcMar>
              <w:top w:type="dxa" w:w="60"/>
              <w:left w:type="dxa" w:w="100"/>
              <w:bottom w:type="dxa" w:w="60"/>
              <w:right w:type="dxa" w:w="100"/>
            </w:tcMar>
          </w:tcPr>
          <w:p>
            <w:pPr>
              <w:spacing w:after="60" w:before="60"/>
            </w:pPr>
            <w:r>
              <w:rPr>
                <w:rFonts w:ascii="Calibri" w:cs="Calibri" w:eastAsia="Calibri" w:hAnsi="Calibri"/>
                <w:b/>
                <w:bCs/>
                <w:color w:val="1F3864"/>
                <w:sz w:val="19"/>
                <w:szCs w:val="19"/>
              </w:rPr>
              <w:t xml:space="preserve">Ranking Note</w:t>
            </w:r>
          </w:p>
        </w:tc>
        <w:tc>
          <w:tcPr>
            <w:tcW w:type="dxa" w:w="6960"/>
            <w:tcBorders>
              <w:top w:val="single" w:color="DDDDDD" w:sz="4"/>
              <w:left w:val="single" w:color="DDDDDD" w:sz="4"/>
              <w:bottom w:val="single" w:color="DDDDDD" w:sz="4"/>
              <w:right w:val="single" w:color="DDDDDD" w:sz="4"/>
            </w:tcBorders>
            <w:tcMar>
              <w:top w:type="dxa" w:w="60"/>
              <w:left w:type="dxa" w:w="100"/>
              <w:bottom w:type="dxa" w:w="60"/>
              <w:right w:type="dxa" w:w="100"/>
            </w:tcMar>
          </w:tcPr>
          <w:p>
            <w:pPr>
              <w:spacing w:after="60" w:before="60"/>
            </w:pPr>
            <w:r>
              <w:rPr>
                <w:rFonts w:ascii="Calibri" w:cs="Calibri" w:eastAsia="Calibri" w:hAnsi="Calibri"/>
                <w:sz w:val="19"/>
                <w:szCs w:val="19"/>
              </w:rPr>
              <w:t xml:space="preserve">The ChatGPT independent rerun elevated COMEX to the second position in the AI dominance order, ahead of China. The reasoning: on April 9 data specifically, COMEX combined the highest registered leverage in the run, narrowing contango, and the largest OI expansion, while China's urgency case was simultaneously being moderated by the SHFE rebuild and LBMA monthly gain. Claude maintained China at second in keeping with the prior working dominance order. This is not a governance conflict — it is a difference in how each system weights building COMEX pressure versus structural China persistence. The human operator's working dominance order remains in effect.</w:t>
            </w:r>
          </w:p>
        </w:tc>
      </w:tr>
    </w:tbl>
    <w:p>
      <w:pPr>
        <w:spacing w:after="60" w:before="60"/>
      </w:pPr>
      <w:r>
        <w:rPr>
          <w:rFonts w:ascii="Calibri" w:cs="Calibri" w:eastAsia="Calibri" w:hAnsi="Calibri"/>
          <w:sz w:val="20"/>
          <w:szCs w:val="20"/>
        </w:rPr>
        <w:t xml:space="preserve"/>
      </w:r>
    </w:p>
    <w:p>
      <w:pPr>
        <w:pBdr>
          <w:bottom w:val="single" w:color="2E74B5" w:sz="6" w:space="1"/>
        </w:pBdr>
        <w:spacing w:after="140" w:before="140"/>
      </w:pPr>
      <w:r>
        <w:rPr>
          <w:rFonts w:ascii="Calibri" w:cs="Calibri" w:eastAsia="Calibri" w:hAnsi="Calibri"/>
          <w:sz w:val="20"/>
          <w:szCs w:val="20"/>
        </w:rPr>
        <w:t xml:space="preserve"/>
      </w:r>
    </w:p>
    <w:p>
      <w:pPr>
        <w:shd w:fill="1F3864" w:val="clear"/>
        <w:spacing w:after="80" w:before="200"/>
        <w:ind w:left="120" w:right="120"/>
      </w:pPr>
      <w:r>
        <w:rPr>
          <w:rFonts w:ascii="Calibri" w:cs="Calibri" w:eastAsia="Calibri" w:hAnsi="Calibri"/>
          <w:b/>
          <w:bCs/>
          <w:color w:val="FFFFFF"/>
          <w:sz w:val="22"/>
          <w:szCs w:val="22"/>
        </w:rPr>
        <w:t xml:space="preserve">AI COMMENTARY</w:t>
      </w:r>
    </w:p>
    <w:p>
      <w:pPr>
        <w:spacing w:after="60" w:before="60"/>
      </w:pPr>
      <w:r>
        <w:rPr>
          <w:rFonts w:ascii="Calibri" w:cs="Calibri" w:eastAsia="Calibri" w:hAnsi="Calibri"/>
          <w:sz w:val="20"/>
          <w:szCs w:val="20"/>
        </w:rPr>
        <w:t xml:space="preserve"/>
      </w:r>
    </w:p>
    <w:p>
      <w:pPr>
        <w:pBdr>
          <w:bottom w:val="single" w:color="1F3864" w:sz="4" w:space="1"/>
        </w:pBdr>
        <w:spacing w:after="60" w:before="160"/>
      </w:pPr>
      <w:r>
        <w:rPr>
          <w:rFonts w:ascii="Calibri" w:cs="Calibri" w:eastAsia="Calibri" w:hAnsi="Calibri"/>
          <w:b/>
          <w:bCs/>
          <w:color w:val="1F3864"/>
          <w:sz w:val="22"/>
          <w:szCs w:val="22"/>
        </w:rPr>
        <w:t xml:space="preserve">Claude</w:t>
      </w:r>
    </w:p>
    <w:p>
      <w:pPr>
        <w:spacing w:after="60" w:before="60"/>
      </w:pPr>
      <w:r>
        <w:rPr>
          <w:rFonts w:ascii="Calibri" w:cs="Calibri" w:eastAsia="Calibri" w:hAnsi="Calibri"/>
          <w:color w:val="000000"/>
          <w:sz w:val="20"/>
          <w:szCs w:val="20"/>
        </w:rPr>
        <w:t xml:space="preserve">April 9 was a different animal from April 8. Where yesterday featured a dramatic spike-and-retrace driven by a seven-percent futures move and the Dow surging over thirteen hundred points, today was quieter and, in some ways, more telling. Silver closed at $75.67 — above the EMA(20) for the first time in this bearish structure — while the Dow gained a modest $276 and the dollar slipped less than a third of a percent. The macro tailwind was still present but muted, and silver still outperformed. The GSR compressed to 63.05, within five hundredths of the framework's Disproof Condition 2 threshold. Miners were the notable underperformers: HUI gained just 0.29% and SILJ barely moved at 0.10%, both lagging silver's 2.09% move. That divergence — silver leading miners — would normally initiate a Day 1 evaluation. But the Macro Shock protocol is still active, now in Day 2 of its three-to-five session exit window. The OI expansion of 6,555 contracts, the largest daily addition in the current run series, with July gaining nearly 5,900 contracts alone, signals that the market is adding exposure across the curve, not reducing it.</w:t>
      </w:r>
    </w:p>
    <w:p>
      <w:pPr>
        <w:spacing w:after="60" w:before="60"/>
      </w:pPr>
      <w:r>
        <w:rPr>
          <w:rFonts w:ascii="Calibri" w:cs="Calibri" w:eastAsia="Calibri" w:hAnsi="Calibri"/>
          <w:sz w:val="20"/>
          <w:szCs w:val="20"/>
        </w:rPr>
        <w:t xml:space="preserve"/>
      </w:r>
    </w:p>
    <w:p>
      <w:pPr>
        <w:spacing w:after="60" w:before="60"/>
      </w:pPr>
      <w:r>
        <w:rPr>
          <w:rFonts w:ascii="Calibri" w:cs="Calibri" w:eastAsia="Calibri" w:hAnsi="Calibri"/>
          <w:color w:val="000000"/>
          <w:sz w:val="20"/>
          <w:szCs w:val="20"/>
        </w:rPr>
        <w:t xml:space="preserve">The framework correctly holds Price Behavior as dominant and maintains macro shock classification. The protocol exists precisely to prevent single or double sessions of favorable price behavior from prematurely changing the dominant interpretation. What today adds to the picture is a more sustained, less volatile character to the recovery — different from a macro spike. The COMEX spread narrowed to the lower end of the teens, still contango, still not pricing delivery urgency, but closer to zero than a week ago. If April 10 passes without cross-asset disruption, the system reaches Day 3 and the earliest possible macro shock exit. At that point, the miner underperformance pattern and GSR proximity to 63.00 will require fresh evaluation under normal framework rules. The dominant force today remains macro-aligned price behavior — the continuation of the April 8 cross-asset repositioning in a quieter, more constructive form.</w:t>
      </w:r>
    </w:p>
    <w:p>
      <w:pPr>
        <w:spacing w:after="60" w:before="60"/>
      </w:pPr>
      <w:r>
        <w:rPr>
          <w:rFonts w:ascii="Calibri" w:cs="Calibri" w:eastAsia="Calibri" w:hAnsi="Calibri"/>
          <w:sz w:val="20"/>
          <w:szCs w:val="20"/>
        </w:rPr>
        <w:t xml:space="preserve"/>
      </w:r>
    </w:p>
    <w:p>
      <w:pPr>
        <w:pBdr>
          <w:bottom w:val="single" w:color="2E74B5" w:sz="4" w:space="1"/>
        </w:pBdr>
        <w:spacing w:after="60" w:before="160"/>
      </w:pPr>
      <w:r>
        <w:rPr>
          <w:rFonts w:ascii="Calibri" w:cs="Calibri" w:eastAsia="Calibri" w:hAnsi="Calibri"/>
          <w:b/>
          <w:bCs/>
          <w:color w:val="2E74B5"/>
          <w:sz w:val="22"/>
          <w:szCs w:val="22"/>
        </w:rPr>
        <w:t xml:space="preserve">DeepSeek</w:t>
      </w:r>
    </w:p>
    <w:p>
      <w:pPr>
        <w:spacing w:after="60" w:before="60"/>
      </w:pPr>
      <w:r>
        <w:rPr>
          <w:rFonts w:ascii="Calibri" w:cs="Calibri" w:eastAsia="Calibri" w:hAnsi="Calibri"/>
          <w:color w:val="000000"/>
          <w:sz w:val="20"/>
          <w:szCs w:val="20"/>
        </w:rPr>
        <w:t xml:space="preserve">The April 9 session is doing something the April 8 session could not: it is demonstrating price sustainability. A spike that gives back four dollars by afternoon is volatility. A steady close above the EMA(20) at $75.67 with a narrowing GSR and miners failing to keep pace is structural behavior beginning to assert itself. The framework labels this Macro Shock Day 2, and under the protocol that label is formally correct — the macro environment has not fully cleared. But the content of the session is qualitatively different. Silver outperformed both equities and miners today. The OI added 6,555 contracts net, dominated by July's 5,888-contract gain — this is not short-term speculation but extended-horizon positioning. The COMEX contango sat in the low-to-mid teen cents, narrower than the prior range. And Disproof Condition 2 is sitting at 63.05, one session from deactivation. The framework is correct not to rush to a conclusion, but it should be registering what the data is saying: the market is behaving like something is changing, not merely continuing.</w:t>
      </w:r>
    </w:p>
    <w:p>
      <w:pPr>
        <w:spacing w:after="60" w:before="60"/>
      </w:pPr>
      <w:r>
        <w:rPr>
          <w:rFonts w:ascii="Calibri" w:cs="Calibri" w:eastAsia="Calibri" w:hAnsi="Calibri"/>
          <w:sz w:val="20"/>
          <w:szCs w:val="20"/>
        </w:rPr>
        <w:t xml:space="preserve"/>
      </w:r>
    </w:p>
    <w:p>
      <w:pPr>
        <w:spacing w:after="60" w:before="60"/>
      </w:pPr>
      <w:r>
        <w:rPr>
          <w:rFonts w:ascii="Calibri" w:cs="Calibri" w:eastAsia="Calibri" w:hAnsi="Calibri"/>
          <w:color w:val="000000"/>
          <w:sz w:val="20"/>
          <w:szCs w:val="20"/>
        </w:rPr>
        <w:t xml:space="preserve">The structural data introduces its own complications. SHFE inventory gained another 853,600 ounces today, bringing the 30-day gain to 4.33 million ounces — a 51.91% increase. LBMA reported its first monthly gain in end-March data at plus 1.6%. These developments weaken the specific argument that Chinese demand urgency is driving a short-squeeze setup. The COMEX eligible inventory gained 237,600 ounces — small but notable as the first daily gain after weeks of decline. The China premium re-expanded to +11.92%, maintaining the East-West differential argument, but the SHFE rebuild moderates the urgency. The dominant force today is macro-aligned continuation of the April 8 repricing — but the structural substrate is becoming more supportive, not less, and the framework's governance apparatus is approaching its first real test.</w:t>
      </w:r>
    </w:p>
    <w:p>
      <w:pPr>
        <w:spacing w:after="60" w:before="60"/>
      </w:pPr>
      <w:r>
        <w:rPr>
          <w:rFonts w:ascii="Calibri" w:cs="Calibri" w:eastAsia="Calibri" w:hAnsi="Calibri"/>
          <w:sz w:val="20"/>
          <w:szCs w:val="20"/>
        </w:rPr>
        <w:t xml:space="preserve"/>
      </w:r>
    </w:p>
    <w:p>
      <w:pPr>
        <w:pBdr>
          <w:bottom w:val="single" w:color="7F6000" w:sz="4" w:space="1"/>
        </w:pBdr>
        <w:spacing w:after="60" w:before="160"/>
      </w:pPr>
      <w:r>
        <w:rPr>
          <w:rFonts w:ascii="Calibri" w:cs="Calibri" w:eastAsia="Calibri" w:hAnsi="Calibri"/>
          <w:b/>
          <w:bCs/>
          <w:color w:val="7F6000"/>
          <w:sz w:val="22"/>
          <w:szCs w:val="22"/>
        </w:rPr>
        <w:t xml:space="preserve">ChatGPT</w:t>
      </w:r>
    </w:p>
    <w:p>
      <w:pPr>
        <w:spacing w:after="60" w:before="60"/>
      </w:pPr>
      <w:r>
        <w:rPr>
          <w:rFonts w:ascii="Calibri" w:cs="Calibri" w:eastAsia="Calibri" w:hAnsi="Calibri"/>
          <w:color w:val="000000"/>
          <w:sz w:val="20"/>
          <w:szCs w:val="20"/>
        </w:rPr>
        <w:t xml:space="preserve">Two sessions into the macro shock window, the market is providing a more constructive data set than April 8's volatility suggested it would. Silver at $75.67 has held above the EMA(20) on a closing basis — a clean technical development that the framework will need to assess carefully once the macro shock exit window clears. The GSR at 63.05 is within rounding distance of Disproof Condition 2's 63.00 threshold. Miners underperformed silver by nearly 180 basis points today — a reversal of the prior pattern where miners moved in parallel with broader equities. The OI expansion of 6,555 contracts — largest in the run — signals growing market commitment. These are not the behaviors of a market still retreating toward the bearish structure that defined early April. They are the behaviors of a market that is repricing something, even if the framework cannot yet formally designate which layer is producing that repricing.</w:t>
      </w:r>
    </w:p>
    <w:p>
      <w:pPr>
        <w:spacing w:after="60" w:before="60"/>
      </w:pPr>
      <w:r>
        <w:rPr>
          <w:rFonts w:ascii="Calibri" w:cs="Calibri" w:eastAsia="Calibri" w:hAnsi="Calibri"/>
          <w:sz w:val="20"/>
          <w:szCs w:val="20"/>
        </w:rPr>
        <w:t xml:space="preserve"/>
      </w:r>
    </w:p>
    <w:p>
      <w:pPr>
        <w:spacing w:after="60" w:before="60"/>
      </w:pPr>
      <w:r>
        <w:rPr>
          <w:rFonts w:ascii="Calibri" w:cs="Calibri" w:eastAsia="Calibri" w:hAnsi="Calibri"/>
          <w:color w:val="000000"/>
          <w:sz w:val="20"/>
          <w:szCs w:val="20"/>
        </w:rPr>
        <w:t xml:space="preserve">The structural side of the ledger remains mixed. The SHFE rebuild is now two sessions old and 4.33 million ounces over 30 days — a meaningful change in the inventory narrative that had been central to the China Layer urgency case. LBMA showed its first monthly gain in end-March data. COMEX eligible gained on the day — a single session, but an interruption of the trend. Against these moderating physical signals, COMEX registered leverage sits at 7.53x against a registered base that fell again today. The spread narrowed to the teens in contango. The market is compressing, and the framework is one to two sessions from either resolving or escalating its governance state. The dominant force today is the continuation of macro-aligned price behavior from April 8, with cross-asset repricing still in control — but structural dynamics are becoming increasingly difficult to dismiss as background noise.</w:t>
      </w:r>
    </w:p>
    <w:p>
      <w:pPr>
        <w:spacing w:after="60" w:before="60"/>
      </w:pPr>
      <w:r>
        <w:rPr>
          <w:rFonts w:ascii="Calibri" w:cs="Calibri" w:eastAsia="Calibri" w:hAnsi="Calibri"/>
          <w:sz w:val="20"/>
          <w:szCs w:val="20"/>
        </w:rPr>
        <w:t xml:space="preserve"/>
      </w:r>
    </w:p>
    <w:p>
      <w:pPr>
        <w:pBdr>
          <w:bottom w:val="single" w:color="C00000" w:sz="4" w:space="1"/>
        </w:pBdr>
        <w:spacing w:after="60" w:before="160"/>
      </w:pPr>
      <w:r>
        <w:rPr>
          <w:rFonts w:ascii="Calibri" w:cs="Calibri" w:eastAsia="Calibri" w:hAnsi="Calibri"/>
          <w:b/>
          <w:bCs/>
          <w:color w:val="C00000"/>
          <w:sz w:val="22"/>
          <w:szCs w:val="22"/>
        </w:rPr>
        <w:t xml:space="preserve">Synthesis</w:t>
      </w:r>
    </w:p>
    <w:p>
      <w:pPr>
        <w:spacing w:after="60" w:before="60"/>
      </w:pPr>
      <w:r>
        <w:rPr>
          <w:rFonts w:ascii="Calibri" w:cs="Calibri" w:eastAsia="Calibri" w:hAnsi="Calibri"/>
          <w:color w:val="000000"/>
          <w:sz w:val="20"/>
          <w:szCs w:val="20"/>
        </w:rPr>
        <w:t xml:space="preserve">All three perspectives agree on the framework conclusion: Price Behavior remains dominant, Macro Shock is active, no migration is warranted, and the system is in a high-information window. The disagreement is interpretive, not structural. Claude and the ChatGPT independent rerun emphasize that the framework's protocol is producing the correct classification — the macro shock window prevents premature re-designation, and the right response is to monitor and wait for Day 3. DeepSeek pushes on that framing, arguing that the qualitative content of April 9 — sustainability of the move, silver outperforming miners, back-month OI expansion, GSR at threshold — is already telling a story that the framework will have to acknowledge shortly.</w:t>
      </w:r>
    </w:p>
    <w:p>
      <w:pPr>
        <w:spacing w:after="60" w:before="60"/>
      </w:pPr>
      <w:r>
        <w:rPr>
          <w:rFonts w:ascii="Calibri" w:cs="Calibri" w:eastAsia="Calibri" w:hAnsi="Calibri"/>
          <w:sz w:val="20"/>
          <w:szCs w:val="20"/>
        </w:rPr>
        <w:t xml:space="preserve"/>
      </w:r>
    </w:p>
    <w:p>
      <w:pPr>
        <w:spacing w:after="60" w:before="60"/>
      </w:pPr>
      <w:r>
        <w:rPr>
          <w:rFonts w:ascii="Calibri" w:cs="Calibri" w:eastAsia="Calibri" w:hAnsi="Calibri"/>
          <w:color w:val="000000"/>
          <w:sz w:val="20"/>
          <w:szCs w:val="20"/>
        </w:rPr>
        <w:t xml:space="preserve">The synthesis resolves this as a difference in timing, not substance. DeepSeek is not wrong about what is building. Claude and ChatGPT are not wrong about what the framework requires. The correct position is that the market is in early transition — not yet formally designated as such — and the next one to two sessions will determine whether the framework catches up with price or price reverts to the established bearish structure. The signal is building faster than the protocol can respond. That gap is the central risk of the current governance state.</w:t>
      </w:r>
    </w:p>
    <w:p>
      <w:pPr>
        <w:spacing w:after="60" w:before="60"/>
      </w:pPr>
      <w:r>
        <w:rPr>
          <w:rFonts w:ascii="Calibri" w:cs="Calibri" w:eastAsia="Calibri" w:hAnsi="Calibri"/>
          <w:sz w:val="20"/>
          <w:szCs w:val="20"/>
        </w:rPr>
        <w:t xml:space="preserve"/>
      </w:r>
    </w:p>
    <w:p>
      <w:pPr>
        <w:shd w:fill="FFF2CC" w:val="clear"/>
        <w:spacing w:after="80" w:before="80"/>
        <w:ind w:left="120" w:right="120"/>
      </w:pPr>
      <w:r>
        <w:rPr>
          <w:rFonts w:ascii="Calibri" w:cs="Calibri" w:eastAsia="Calibri" w:hAnsi="Calibri"/>
          <w:b/>
          <w:bCs/>
          <w:color w:val="C00000"/>
          <w:sz w:val="20"/>
          <w:szCs w:val="20"/>
        </w:rPr>
        <w:t xml:space="preserve">The market today is being driven by </w:t>
      </w:r>
      <w:r>
        <w:rPr>
          <w:rFonts w:ascii="Calibri" w:cs="Calibri" w:eastAsia="Calibri" w:hAnsi="Calibri"/>
          <w:color w:val="C00000"/>
          <w:sz w:val="20"/>
          <w:szCs w:val="20"/>
        </w:rPr>
        <w:t xml:space="preserve">the continuation of macro-aligned upward price behavior from April 8, operating inside an active shock window — but increasingly exhibiting the character of early structural transition rather than simple cross-asset reaction.</w:t>
      </w:r>
    </w:p>
    <w:p>
      <w:pPr>
        <w:spacing w:after="60" w:before="60"/>
      </w:pPr>
      <w:r>
        <w:rPr>
          <w:rFonts w:ascii="Calibri" w:cs="Calibri" w:eastAsia="Calibri" w:hAnsi="Calibri"/>
          <w:sz w:val="20"/>
          <w:szCs w:val="20"/>
        </w:rPr>
        <w:t xml:space="preserve"/>
      </w:r>
    </w:p>
    <w:p>
      <w:pPr>
        <w:pBdr>
          <w:bottom w:val="single" w:color="2E74B5" w:sz="6" w:space="1"/>
        </w:pBdr>
        <w:spacing w:after="140" w:before="140"/>
      </w:pPr>
      <w:r>
        <w:rPr>
          <w:rFonts w:ascii="Calibri" w:cs="Calibri" w:eastAsia="Calibri" w:hAnsi="Calibri"/>
          <w:sz w:val="20"/>
          <w:szCs w:val="20"/>
        </w:rPr>
        <w:t xml:space="preserve"/>
      </w:r>
    </w:p>
    <w:p>
      <w:pPr>
        <w:shd w:fill="1F3864" w:val="clear"/>
        <w:spacing w:after="80" w:before="200"/>
        <w:ind w:left="120" w:right="120"/>
      </w:pPr>
      <w:r>
        <w:rPr>
          <w:rFonts w:ascii="Calibri" w:cs="Calibri" w:eastAsia="Calibri" w:hAnsi="Calibri"/>
          <w:b/>
          <w:bCs/>
          <w:color w:val="FFFFFF"/>
          <w:sz w:val="22"/>
          <w:szCs w:val="22"/>
        </w:rPr>
        <w:t xml:space="preserve">PROBABILITY OUTLOOK</w:t>
      </w:r>
    </w:p>
    <w:p>
      <w:pPr>
        <w:spacing w:after="60" w:before="60"/>
      </w:pPr>
      <w:r>
        <w:rPr>
          <w:rFonts w:ascii="Calibri" w:cs="Calibri" w:eastAsia="Calibri" w:hAnsi="Calibri"/>
          <w:sz w:val="20"/>
          <w:szCs w:val="20"/>
        </w:rPr>
        <w:t xml:space="preserve"/>
      </w:r>
    </w:p>
    <w:p>
      <w:pPr>
        <w:spacing w:after="60" w:before="60"/>
      </w:pPr>
      <w:r>
        <w:rPr>
          <w:rFonts w:ascii="Calibri" w:cs="Calibri" w:eastAsia="Calibri" w:hAnsi="Calibri"/>
          <w:color w:val="000000"/>
          <w:sz w:val="20"/>
          <w:szCs w:val="20"/>
        </w:rPr>
        <w:t xml:space="preserve">Probabilities reflect directional bias from the dominant layer, adjusted for partial structural confirmation and active Macro Shock classification. The framework's Directional Probability Rule is in effect — no caps applied. Soft ceiling of approximately 65–70% applies given partial, not full, structural confirmation. All three systems apply provisional bullish directional weight given price above EMA(20) and GSR approaching threshold.</w:t>
      </w:r>
    </w:p>
    <w:p>
      <w:pPr>
        <w:spacing w:after="60" w:before="60"/>
      </w:pPr>
      <w:r>
        <w:rPr>
          <w:rFonts w:ascii="Calibri" w:cs="Calibri" w:eastAsia="Calibri" w:hAnsi="Calibri"/>
          <w:sz w:val="20"/>
          <w:szCs w:val="20"/>
        </w:rPr>
        <w:t xml:space="preserve"/>
      </w:r>
    </w:p>
    <w:p>
      <w:pPr>
        <w:spacing w:after="40" w:before="100"/>
      </w:pPr>
      <w:r>
        <w:rPr>
          <w:rFonts w:ascii="Calibri" w:cs="Calibri" w:eastAsia="Calibri" w:hAnsi="Calibri"/>
          <w:b/>
          <w:bCs/>
          <w:color w:val="1F3864"/>
          <w:sz w:val="20"/>
          <w:szCs w:val="20"/>
        </w:rPr>
        <w:t xml:space="preserve">Claude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900"/>
        <w:gridCol w:w="900"/>
        <w:gridCol w:w="900"/>
        <w:gridCol w:w="900"/>
        <w:gridCol w:w="900"/>
        <w:gridCol w:w="900"/>
        <w:gridCol w:w="900"/>
        <w:gridCol w:w="900"/>
        <w:gridCol w:w="900"/>
      </w:tblGrid>
      <w:tr>
        <w:tc>
          <w:tcPr>
            <w:tcW w:type="dxa" w:w="1560"/>
            <w:tcBorders>
              <w:top w:val="single" w:color="CCCCCC" w:sz="4"/>
              <w:left w:val="single" w:color="CCCCCC" w:sz="4"/>
              <w:bottom w:val="single" w:color="CCCCCC" w:sz="4"/>
              <w:right w:val="single" w:color="CCCCCC" w:sz="4"/>
            </w:tcBorders>
            <w:shd w:fill="1F3864" w:val="clear"/>
            <w:tcMar>
              <w:top w:type="dxa" w:w="60"/>
              <w:left w:type="dxa" w:w="80"/>
              <w:bottom w:type="dxa" w:w="60"/>
              <w:right w:type="dxa" w:w="80"/>
            </w:tcMar>
            <w:vAlign w:val="center"/>
          </w:tcPr>
          <w:p>
            <w:pPr>
              <w:jc w:val="center"/>
            </w:pPr>
            <w:r>
              <w:rPr>
                <w:rFonts w:ascii="Calibri" w:cs="Calibri" w:eastAsia="Calibri" w:hAnsi="Calibri"/>
                <w:b/>
                <w:bCs/>
                <w:color w:val="FFFFFF"/>
                <w:sz w:val="18"/>
                <w:szCs w:val="18"/>
              </w:rPr>
              <w:t xml:space="preserve">Claude</w:t>
            </w:r>
          </w:p>
        </w:tc>
        <w:tc>
          <w:tcPr>
            <w:tcW w:type="dxa" w:w="900"/>
            <w:tcBorders>
              <w:top w:val="single" w:color="CCCCCC" w:sz="4"/>
              <w:left w:val="single" w:color="CCCCCC" w:sz="4"/>
              <w:bottom w:val="single" w:color="CCCCCC" w:sz="4"/>
              <w:right w:val="single" w:color="CCCCCC" w:sz="4"/>
            </w:tcBorders>
            <w:shd w:fill="1F5C8B" w:val="clear"/>
            <w:tcMar>
              <w:top w:type="dxa" w:w="60"/>
              <w:left w:type="dxa" w:w="80"/>
              <w:bottom w:type="dxa" w:w="60"/>
              <w:right w:type="dxa" w:w="80"/>
            </w:tcMar>
            <w:vAlign w:val="center"/>
          </w:tcPr>
          <w:p>
            <w:pPr>
              <w:jc w:val="center"/>
            </w:pPr>
            <w:r>
              <w:rPr>
                <w:rFonts w:ascii="Calibri" w:cs="Calibri" w:eastAsia="Calibri" w:hAnsi="Calibri"/>
                <w:b/>
                <w:bCs/>
                <w:color w:val="FFFFFF"/>
                <w:sz w:val="18"/>
                <w:szCs w:val="18"/>
              </w:rPr>
              <w:t xml:space="preserve">5-Day Bull</w:t>
            </w:r>
          </w:p>
        </w:tc>
        <w:tc>
          <w:tcPr>
            <w:tcW w:type="dxa" w:w="900"/>
            <w:tcBorders>
              <w:top w:val="single" w:color="CCCCCC" w:sz="4"/>
              <w:left w:val="single" w:color="CCCCCC" w:sz="4"/>
              <w:bottom w:val="single" w:color="CCCCCC" w:sz="4"/>
              <w:right w:val="single" w:color="CCCCCC" w:sz="4"/>
            </w:tcBorders>
            <w:shd w:fill="888888" w:val="clear"/>
            <w:tcMar>
              <w:top w:type="dxa" w:w="60"/>
              <w:left w:type="dxa" w:w="80"/>
              <w:bottom w:type="dxa" w:w="60"/>
              <w:right w:type="dxa" w:w="80"/>
            </w:tcMar>
            <w:vAlign w:val="center"/>
          </w:tcPr>
          <w:p>
            <w:pPr>
              <w:jc w:val="center"/>
            </w:pPr>
            <w:r>
              <w:rPr>
                <w:rFonts w:ascii="Calibri" w:cs="Calibri" w:eastAsia="Calibri" w:hAnsi="Calibri"/>
                <w:b/>
                <w:bCs/>
                <w:color w:val="FFFFFF"/>
                <w:sz w:val="18"/>
                <w:szCs w:val="18"/>
              </w:rPr>
              <w:t xml:space="preserve">5-Day Neut</w:t>
            </w:r>
          </w:p>
        </w:tc>
        <w:tc>
          <w:tcPr>
            <w:tcW w:type="dxa" w:w="900"/>
            <w:tcBorders>
              <w:top w:val="single" w:color="CCCCCC" w:sz="4"/>
              <w:left w:val="single" w:color="CCCCCC" w:sz="4"/>
              <w:bottom w:val="single" w:color="CCCCCC" w:sz="4"/>
              <w:right w:val="single" w:color="CCCCCC" w:sz="4"/>
            </w:tcBorders>
            <w:shd w:fill="8B1F1F" w:val="clear"/>
            <w:tcMar>
              <w:top w:type="dxa" w:w="60"/>
              <w:left w:type="dxa" w:w="80"/>
              <w:bottom w:type="dxa" w:w="60"/>
              <w:right w:type="dxa" w:w="80"/>
            </w:tcMar>
            <w:vAlign w:val="center"/>
          </w:tcPr>
          <w:p>
            <w:pPr>
              <w:jc w:val="center"/>
            </w:pPr>
            <w:r>
              <w:rPr>
                <w:rFonts w:ascii="Calibri" w:cs="Calibri" w:eastAsia="Calibri" w:hAnsi="Calibri"/>
                <w:b/>
                <w:bCs/>
                <w:color w:val="FFFFFF"/>
                <w:sz w:val="18"/>
                <w:szCs w:val="18"/>
              </w:rPr>
              <w:t xml:space="preserve">5-Day Bear</w:t>
            </w:r>
          </w:p>
        </w:tc>
        <w:tc>
          <w:tcPr>
            <w:tcW w:type="dxa" w:w="900"/>
            <w:tcBorders>
              <w:top w:val="single" w:color="CCCCCC" w:sz="4"/>
              <w:left w:val="single" w:color="CCCCCC" w:sz="4"/>
              <w:bottom w:val="single" w:color="CCCCCC" w:sz="4"/>
              <w:right w:val="single" w:color="CCCCCC" w:sz="4"/>
            </w:tcBorders>
            <w:shd w:fill="1F5C8B" w:val="clear"/>
            <w:tcMar>
              <w:top w:type="dxa" w:w="60"/>
              <w:left w:type="dxa" w:w="80"/>
              <w:bottom w:type="dxa" w:w="60"/>
              <w:right w:type="dxa" w:w="80"/>
            </w:tcMar>
            <w:vAlign w:val="center"/>
          </w:tcPr>
          <w:p>
            <w:pPr>
              <w:jc w:val="center"/>
            </w:pPr>
            <w:r>
              <w:rPr>
                <w:rFonts w:ascii="Calibri" w:cs="Calibri" w:eastAsia="Calibri" w:hAnsi="Calibri"/>
                <w:b/>
                <w:bCs/>
                <w:color w:val="FFFFFF"/>
                <w:sz w:val="18"/>
                <w:szCs w:val="18"/>
              </w:rPr>
              <w:t xml:space="preserve">10-Day Bull</w:t>
            </w:r>
          </w:p>
        </w:tc>
        <w:tc>
          <w:tcPr>
            <w:tcW w:type="dxa" w:w="900"/>
            <w:tcBorders>
              <w:top w:val="single" w:color="CCCCCC" w:sz="4"/>
              <w:left w:val="single" w:color="CCCCCC" w:sz="4"/>
              <w:bottom w:val="single" w:color="CCCCCC" w:sz="4"/>
              <w:right w:val="single" w:color="CCCCCC" w:sz="4"/>
            </w:tcBorders>
            <w:shd w:fill="888888" w:val="clear"/>
            <w:tcMar>
              <w:top w:type="dxa" w:w="60"/>
              <w:left w:type="dxa" w:w="80"/>
              <w:bottom w:type="dxa" w:w="60"/>
              <w:right w:type="dxa" w:w="80"/>
            </w:tcMar>
            <w:vAlign w:val="center"/>
          </w:tcPr>
          <w:p>
            <w:pPr>
              <w:jc w:val="center"/>
            </w:pPr>
            <w:r>
              <w:rPr>
                <w:rFonts w:ascii="Calibri" w:cs="Calibri" w:eastAsia="Calibri" w:hAnsi="Calibri"/>
                <w:b/>
                <w:bCs/>
                <w:color w:val="FFFFFF"/>
                <w:sz w:val="18"/>
                <w:szCs w:val="18"/>
              </w:rPr>
              <w:t xml:space="preserve">10-Day Neut</w:t>
            </w:r>
          </w:p>
        </w:tc>
        <w:tc>
          <w:tcPr>
            <w:tcW w:type="dxa" w:w="900"/>
            <w:tcBorders>
              <w:top w:val="single" w:color="CCCCCC" w:sz="4"/>
              <w:left w:val="single" w:color="CCCCCC" w:sz="4"/>
              <w:bottom w:val="single" w:color="CCCCCC" w:sz="4"/>
              <w:right w:val="single" w:color="CCCCCC" w:sz="4"/>
            </w:tcBorders>
            <w:shd w:fill="8B1F1F" w:val="clear"/>
            <w:tcMar>
              <w:top w:type="dxa" w:w="60"/>
              <w:left w:type="dxa" w:w="80"/>
              <w:bottom w:type="dxa" w:w="60"/>
              <w:right w:type="dxa" w:w="80"/>
            </w:tcMar>
            <w:vAlign w:val="center"/>
          </w:tcPr>
          <w:p>
            <w:pPr>
              <w:jc w:val="center"/>
            </w:pPr>
            <w:r>
              <w:rPr>
                <w:rFonts w:ascii="Calibri" w:cs="Calibri" w:eastAsia="Calibri" w:hAnsi="Calibri"/>
                <w:b/>
                <w:bCs/>
                <w:color w:val="FFFFFF"/>
                <w:sz w:val="18"/>
                <w:szCs w:val="18"/>
              </w:rPr>
              <w:t xml:space="preserve">10-Day Bear</w:t>
            </w:r>
          </w:p>
        </w:tc>
        <w:tc>
          <w:tcPr>
            <w:tcW w:type="dxa" w:w="900"/>
            <w:tcBorders>
              <w:top w:val="single" w:color="CCCCCC" w:sz="4"/>
              <w:left w:val="single" w:color="CCCCCC" w:sz="4"/>
              <w:bottom w:val="single" w:color="CCCCCC" w:sz="4"/>
              <w:right w:val="single" w:color="CCCCCC" w:sz="4"/>
            </w:tcBorders>
            <w:shd w:fill="1F5C8B" w:val="clear"/>
            <w:tcMar>
              <w:top w:type="dxa" w:w="60"/>
              <w:left w:type="dxa" w:w="80"/>
              <w:bottom w:type="dxa" w:w="60"/>
              <w:right w:type="dxa" w:w="80"/>
            </w:tcMar>
            <w:vAlign w:val="center"/>
          </w:tcPr>
          <w:p>
            <w:pPr>
              <w:jc w:val="center"/>
            </w:pPr>
            <w:r>
              <w:rPr>
                <w:rFonts w:ascii="Calibri" w:cs="Calibri" w:eastAsia="Calibri" w:hAnsi="Calibri"/>
                <w:b/>
                <w:bCs/>
                <w:color w:val="FFFFFF"/>
                <w:sz w:val="18"/>
                <w:szCs w:val="18"/>
              </w:rPr>
              <w:t xml:space="preserve">30-Day Bull</w:t>
            </w:r>
          </w:p>
        </w:tc>
        <w:tc>
          <w:tcPr>
            <w:tcW w:type="dxa" w:w="900"/>
            <w:tcBorders>
              <w:top w:val="single" w:color="CCCCCC" w:sz="4"/>
              <w:left w:val="single" w:color="CCCCCC" w:sz="4"/>
              <w:bottom w:val="single" w:color="CCCCCC" w:sz="4"/>
              <w:right w:val="single" w:color="CCCCCC" w:sz="4"/>
            </w:tcBorders>
            <w:shd w:fill="888888" w:val="clear"/>
            <w:tcMar>
              <w:top w:type="dxa" w:w="60"/>
              <w:left w:type="dxa" w:w="80"/>
              <w:bottom w:type="dxa" w:w="60"/>
              <w:right w:type="dxa" w:w="80"/>
            </w:tcMar>
            <w:vAlign w:val="center"/>
          </w:tcPr>
          <w:p>
            <w:pPr>
              <w:jc w:val="center"/>
            </w:pPr>
            <w:r>
              <w:rPr>
                <w:rFonts w:ascii="Calibri" w:cs="Calibri" w:eastAsia="Calibri" w:hAnsi="Calibri"/>
                <w:b/>
                <w:bCs/>
                <w:color w:val="FFFFFF"/>
                <w:sz w:val="18"/>
                <w:szCs w:val="18"/>
              </w:rPr>
              <w:t xml:space="preserve">30-Day Neut</w:t>
            </w:r>
          </w:p>
        </w:tc>
        <w:tc>
          <w:tcPr>
            <w:tcW w:type="dxa" w:w="900"/>
            <w:tcBorders>
              <w:top w:val="single" w:color="CCCCCC" w:sz="4"/>
              <w:left w:val="single" w:color="CCCCCC" w:sz="4"/>
              <w:bottom w:val="single" w:color="CCCCCC" w:sz="4"/>
              <w:right w:val="single" w:color="CCCCCC" w:sz="4"/>
            </w:tcBorders>
            <w:shd w:fill="8B1F1F" w:val="clear"/>
            <w:tcMar>
              <w:top w:type="dxa" w:w="60"/>
              <w:left w:type="dxa" w:w="80"/>
              <w:bottom w:type="dxa" w:w="60"/>
              <w:right w:type="dxa" w:w="80"/>
            </w:tcMar>
            <w:vAlign w:val="center"/>
          </w:tcPr>
          <w:p>
            <w:pPr>
              <w:jc w:val="center"/>
            </w:pPr>
            <w:r>
              <w:rPr>
                <w:rFonts w:ascii="Calibri" w:cs="Calibri" w:eastAsia="Calibri" w:hAnsi="Calibri"/>
                <w:b/>
                <w:bCs/>
                <w:color w:val="FFFFFF"/>
                <w:sz w:val="18"/>
                <w:szCs w:val="18"/>
              </w:rPr>
              <w:t xml:space="preserve">30-Day Bear</w:t>
            </w:r>
          </w:p>
        </w:tc>
      </w:tr>
      <w:tr>
        <w:tc>
          <w:tcPr>
            <w:tcW w:type="dxa" w:w="1560"/>
            <w:tcBorders>
              <w:top w:val="single" w:color="CCCCCC" w:sz="4"/>
              <w:left w:val="single" w:color="CCCCCC" w:sz="4"/>
              <w:bottom w:val="single" w:color="CCCCCC" w:sz="4"/>
              <w:right w:val="single" w:color="CCCCCC" w:sz="4"/>
            </w:tcBorders>
            <w:shd w:fill="F2F2F2" w:val="clear"/>
            <w:tcMar>
              <w:top w:type="dxa" w:w="60"/>
              <w:left w:type="dxa" w:w="80"/>
              <w:bottom w:type="dxa" w:w="60"/>
              <w:right w:type="dxa" w:w="80"/>
            </w:tcMar>
            <w:vAlign w:val="center"/>
          </w:tcPr>
          <w:p>
            <w:pPr>
              <w:jc w:val="center"/>
            </w:pPr>
            <w:r>
              <w:rPr>
                <w:rFonts w:ascii="Calibri" w:cs="Calibri" w:eastAsia="Calibri" w:hAnsi="Calibri"/>
                <w:b/>
                <w:bCs/>
                <w:color w:val="000000"/>
                <w:sz w:val="18"/>
                <w:szCs w:val="18"/>
              </w:rPr>
              <w:t xml:space="preserve"/>
            </w:r>
          </w:p>
        </w:tc>
        <w:tc>
          <w:tcPr>
            <w:tcW w:type="dxa" w:w="900"/>
            <w:tcBorders>
              <w:top w:val="single" w:color="CCCCCC" w:sz="4"/>
              <w:left w:val="single" w:color="CCCCCC" w:sz="4"/>
              <w:bottom w:val="single" w:color="CCCCCC" w:sz="4"/>
              <w:right w:val="single" w:color="CCCCCC" w:sz="4"/>
            </w:tcBorders>
            <w:tcMar>
              <w:top w:type="dxa" w:w="50"/>
              <w:left w:type="dxa" w:w="80"/>
              <w:bottom w:type="dxa" w:w="50"/>
              <w:right w:type="dxa" w:w="80"/>
            </w:tcMar>
          </w:tcPr>
          <w:p>
            <w:pPr>
              <w:jc w:val="center"/>
            </w:pPr>
            <w:r>
              <w:rPr>
                <w:rFonts w:ascii="Calibri" w:cs="Calibri" w:eastAsia="Calibri" w:hAnsi="Calibri"/>
                <w:color w:val="333333"/>
                <w:sz w:val="18"/>
                <w:szCs w:val="18"/>
              </w:rPr>
              <w:t xml:space="preserve">40%</w:t>
            </w:r>
          </w:p>
        </w:tc>
        <w:tc>
          <w:tcPr>
            <w:tcW w:type="dxa" w:w="900"/>
            <w:tcBorders>
              <w:top w:val="single" w:color="CCCCCC" w:sz="4"/>
              <w:left w:val="single" w:color="CCCCCC" w:sz="4"/>
              <w:bottom w:val="single" w:color="CCCCCC" w:sz="4"/>
              <w:right w:val="single" w:color="CCCCCC" w:sz="4"/>
            </w:tcBorders>
            <w:tcMar>
              <w:top w:type="dxa" w:w="50"/>
              <w:left w:type="dxa" w:w="80"/>
              <w:bottom w:type="dxa" w:w="50"/>
              <w:right w:type="dxa" w:w="80"/>
            </w:tcMar>
          </w:tcPr>
          <w:p>
            <w:pPr>
              <w:jc w:val="center"/>
            </w:pPr>
            <w:r>
              <w:rPr>
                <w:rFonts w:ascii="Calibri" w:cs="Calibri" w:eastAsia="Calibri" w:hAnsi="Calibri"/>
                <w:color w:val="333333"/>
                <w:sz w:val="18"/>
                <w:szCs w:val="18"/>
              </w:rPr>
              <w:t xml:space="preserve">20%</w:t>
            </w:r>
          </w:p>
        </w:tc>
        <w:tc>
          <w:tcPr>
            <w:tcW w:type="dxa" w:w="900"/>
            <w:tcBorders>
              <w:top w:val="single" w:color="CCCCCC" w:sz="4"/>
              <w:left w:val="single" w:color="CCCCCC" w:sz="4"/>
              <w:bottom w:val="single" w:color="CCCCCC" w:sz="4"/>
              <w:right w:val="single" w:color="CCCCCC" w:sz="4"/>
            </w:tcBorders>
            <w:tcMar>
              <w:top w:type="dxa" w:w="50"/>
              <w:left w:type="dxa" w:w="80"/>
              <w:bottom w:type="dxa" w:w="50"/>
              <w:right w:type="dxa" w:w="80"/>
            </w:tcMar>
          </w:tcPr>
          <w:p>
            <w:pPr>
              <w:jc w:val="center"/>
            </w:pPr>
            <w:r>
              <w:rPr>
                <w:rFonts w:ascii="Calibri" w:cs="Calibri" w:eastAsia="Calibri" w:hAnsi="Calibri"/>
                <w:color w:val="333333"/>
                <w:sz w:val="18"/>
                <w:szCs w:val="18"/>
              </w:rPr>
              <w:t xml:space="preserve">40%</w:t>
            </w:r>
          </w:p>
        </w:tc>
        <w:tc>
          <w:tcPr>
            <w:tcW w:type="dxa" w:w="900"/>
            <w:tcBorders>
              <w:top w:val="single" w:color="CCCCCC" w:sz="4"/>
              <w:left w:val="single" w:color="CCCCCC" w:sz="4"/>
              <w:bottom w:val="single" w:color="CCCCCC" w:sz="4"/>
              <w:right w:val="single" w:color="CCCCCC" w:sz="4"/>
            </w:tcBorders>
            <w:tcMar>
              <w:top w:type="dxa" w:w="50"/>
              <w:left w:type="dxa" w:w="80"/>
              <w:bottom w:type="dxa" w:w="50"/>
              <w:right w:type="dxa" w:w="80"/>
            </w:tcMar>
          </w:tcPr>
          <w:p>
            <w:pPr>
              <w:jc w:val="center"/>
            </w:pPr>
            <w:r>
              <w:rPr>
                <w:rFonts w:ascii="Calibri" w:cs="Calibri" w:eastAsia="Calibri" w:hAnsi="Calibri"/>
                <w:color w:val="333333"/>
                <w:sz w:val="18"/>
                <w:szCs w:val="18"/>
              </w:rPr>
              <w:t xml:space="preserve">44%</w:t>
            </w:r>
          </w:p>
        </w:tc>
        <w:tc>
          <w:tcPr>
            <w:tcW w:type="dxa" w:w="900"/>
            <w:tcBorders>
              <w:top w:val="single" w:color="CCCCCC" w:sz="4"/>
              <w:left w:val="single" w:color="CCCCCC" w:sz="4"/>
              <w:bottom w:val="single" w:color="CCCCCC" w:sz="4"/>
              <w:right w:val="single" w:color="CCCCCC" w:sz="4"/>
            </w:tcBorders>
            <w:tcMar>
              <w:top w:type="dxa" w:w="50"/>
              <w:left w:type="dxa" w:w="80"/>
              <w:bottom w:type="dxa" w:w="50"/>
              <w:right w:type="dxa" w:w="80"/>
            </w:tcMar>
          </w:tcPr>
          <w:p>
            <w:pPr>
              <w:jc w:val="center"/>
            </w:pPr>
            <w:r>
              <w:rPr>
                <w:rFonts w:ascii="Calibri" w:cs="Calibri" w:eastAsia="Calibri" w:hAnsi="Calibri"/>
                <w:color w:val="333333"/>
                <w:sz w:val="18"/>
                <w:szCs w:val="18"/>
              </w:rPr>
              <w:t xml:space="preserve">19%</w:t>
            </w:r>
          </w:p>
        </w:tc>
        <w:tc>
          <w:tcPr>
            <w:tcW w:type="dxa" w:w="900"/>
            <w:tcBorders>
              <w:top w:val="single" w:color="CCCCCC" w:sz="4"/>
              <w:left w:val="single" w:color="CCCCCC" w:sz="4"/>
              <w:bottom w:val="single" w:color="CCCCCC" w:sz="4"/>
              <w:right w:val="single" w:color="CCCCCC" w:sz="4"/>
            </w:tcBorders>
            <w:tcMar>
              <w:top w:type="dxa" w:w="50"/>
              <w:left w:type="dxa" w:w="80"/>
              <w:bottom w:type="dxa" w:w="50"/>
              <w:right w:type="dxa" w:w="80"/>
            </w:tcMar>
          </w:tcPr>
          <w:p>
            <w:pPr>
              <w:jc w:val="center"/>
            </w:pPr>
            <w:r>
              <w:rPr>
                <w:rFonts w:ascii="Calibri" w:cs="Calibri" w:eastAsia="Calibri" w:hAnsi="Calibri"/>
                <w:color w:val="333333"/>
                <w:sz w:val="18"/>
                <w:szCs w:val="18"/>
              </w:rPr>
              <w:t xml:space="preserve">37%</w:t>
            </w:r>
          </w:p>
        </w:tc>
        <w:tc>
          <w:tcPr>
            <w:tcW w:type="dxa" w:w="900"/>
            <w:tcBorders>
              <w:top w:val="single" w:color="CCCCCC" w:sz="4"/>
              <w:left w:val="single" w:color="CCCCCC" w:sz="4"/>
              <w:bottom w:val="single" w:color="CCCCCC" w:sz="4"/>
              <w:right w:val="single" w:color="CCCCCC" w:sz="4"/>
            </w:tcBorders>
            <w:tcMar>
              <w:top w:type="dxa" w:w="50"/>
              <w:left w:type="dxa" w:w="80"/>
              <w:bottom w:type="dxa" w:w="50"/>
              <w:right w:type="dxa" w:w="80"/>
            </w:tcMar>
          </w:tcPr>
          <w:p>
            <w:pPr>
              <w:jc w:val="center"/>
            </w:pPr>
            <w:r>
              <w:rPr>
                <w:rFonts w:ascii="Calibri" w:cs="Calibri" w:eastAsia="Calibri" w:hAnsi="Calibri"/>
                <w:color w:val="333333"/>
                <w:sz w:val="18"/>
                <w:szCs w:val="18"/>
              </w:rPr>
              <w:t xml:space="preserve">50%</w:t>
            </w:r>
          </w:p>
        </w:tc>
        <w:tc>
          <w:tcPr>
            <w:tcW w:type="dxa" w:w="900"/>
            <w:tcBorders>
              <w:top w:val="single" w:color="CCCCCC" w:sz="4"/>
              <w:left w:val="single" w:color="CCCCCC" w:sz="4"/>
              <w:bottom w:val="single" w:color="CCCCCC" w:sz="4"/>
              <w:right w:val="single" w:color="CCCCCC" w:sz="4"/>
            </w:tcBorders>
            <w:tcMar>
              <w:top w:type="dxa" w:w="50"/>
              <w:left w:type="dxa" w:w="80"/>
              <w:bottom w:type="dxa" w:w="50"/>
              <w:right w:type="dxa" w:w="80"/>
            </w:tcMar>
          </w:tcPr>
          <w:p>
            <w:pPr>
              <w:jc w:val="center"/>
            </w:pPr>
            <w:r>
              <w:rPr>
                <w:rFonts w:ascii="Calibri" w:cs="Calibri" w:eastAsia="Calibri" w:hAnsi="Calibri"/>
                <w:color w:val="333333"/>
                <w:sz w:val="18"/>
                <w:szCs w:val="18"/>
              </w:rPr>
              <w:t xml:space="preserve">17%</w:t>
            </w:r>
          </w:p>
        </w:tc>
        <w:tc>
          <w:tcPr>
            <w:tcW w:type="dxa" w:w="900"/>
            <w:tcBorders>
              <w:top w:val="single" w:color="CCCCCC" w:sz="4"/>
              <w:left w:val="single" w:color="CCCCCC" w:sz="4"/>
              <w:bottom w:val="single" w:color="CCCCCC" w:sz="4"/>
              <w:right w:val="single" w:color="CCCCCC" w:sz="4"/>
            </w:tcBorders>
            <w:tcMar>
              <w:top w:type="dxa" w:w="50"/>
              <w:left w:type="dxa" w:w="80"/>
              <w:bottom w:type="dxa" w:w="50"/>
              <w:right w:type="dxa" w:w="80"/>
            </w:tcMar>
          </w:tcPr>
          <w:p>
            <w:pPr>
              <w:jc w:val="center"/>
            </w:pPr>
            <w:r>
              <w:rPr>
                <w:rFonts w:ascii="Calibri" w:cs="Calibri" w:eastAsia="Calibri" w:hAnsi="Calibri"/>
                <w:color w:val="333333"/>
                <w:sz w:val="18"/>
                <w:szCs w:val="18"/>
              </w:rPr>
              <w:t xml:space="preserve">33%</w:t>
            </w:r>
          </w:p>
        </w:tc>
      </w:tr>
    </w:tbl>
    <w:p>
      <w:pPr>
        <w:spacing w:after="60" w:before="60"/>
      </w:pPr>
      <w:r>
        <w:rPr>
          <w:rFonts w:ascii="Calibri" w:cs="Calibri" w:eastAsia="Calibri" w:hAnsi="Calibri"/>
          <w:sz w:val="20"/>
          <w:szCs w:val="20"/>
        </w:rPr>
        <w:t xml:space="preserve"/>
      </w:r>
    </w:p>
    <w:p>
      <w:pPr>
        <w:spacing w:after="40" w:before="100"/>
      </w:pPr>
      <w:r>
        <w:rPr>
          <w:rFonts w:ascii="Calibri" w:cs="Calibri" w:eastAsia="Calibri" w:hAnsi="Calibri"/>
          <w:b/>
          <w:bCs/>
          <w:color w:val="2E74B5"/>
          <w:sz w:val="20"/>
          <w:szCs w:val="20"/>
        </w:rPr>
        <w:t xml:space="preserve">DeepSeek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900"/>
        <w:gridCol w:w="900"/>
        <w:gridCol w:w="900"/>
        <w:gridCol w:w="900"/>
        <w:gridCol w:w="900"/>
        <w:gridCol w:w="900"/>
        <w:gridCol w:w="900"/>
        <w:gridCol w:w="900"/>
        <w:gridCol w:w="900"/>
      </w:tblGrid>
      <w:tr>
        <w:tc>
          <w:tcPr>
            <w:tcW w:type="dxa" w:w="1560"/>
            <w:tcBorders>
              <w:top w:val="single" w:color="CCCCCC" w:sz="4"/>
              <w:left w:val="single" w:color="CCCCCC" w:sz="4"/>
              <w:bottom w:val="single" w:color="CCCCCC" w:sz="4"/>
              <w:right w:val="single" w:color="CCCCCC" w:sz="4"/>
            </w:tcBorders>
            <w:shd w:fill="2E74B5" w:val="clear"/>
            <w:tcMar>
              <w:top w:type="dxa" w:w="60"/>
              <w:left w:type="dxa" w:w="80"/>
              <w:bottom w:type="dxa" w:w="60"/>
              <w:right w:type="dxa" w:w="80"/>
            </w:tcMar>
            <w:vAlign w:val="center"/>
          </w:tcPr>
          <w:p>
            <w:pPr>
              <w:jc w:val="center"/>
            </w:pPr>
            <w:r>
              <w:rPr>
                <w:rFonts w:ascii="Calibri" w:cs="Calibri" w:eastAsia="Calibri" w:hAnsi="Calibri"/>
                <w:b/>
                <w:bCs/>
                <w:color w:val="FFFFFF"/>
                <w:sz w:val="18"/>
                <w:szCs w:val="18"/>
              </w:rPr>
              <w:t xml:space="preserve">DeepSeek</w:t>
            </w:r>
          </w:p>
        </w:tc>
        <w:tc>
          <w:tcPr>
            <w:tcW w:type="dxa" w:w="900"/>
            <w:tcBorders>
              <w:top w:val="single" w:color="CCCCCC" w:sz="4"/>
              <w:left w:val="single" w:color="CCCCCC" w:sz="4"/>
              <w:bottom w:val="single" w:color="CCCCCC" w:sz="4"/>
              <w:right w:val="single" w:color="CCCCCC" w:sz="4"/>
            </w:tcBorders>
            <w:shd w:fill="1F5C8B" w:val="clear"/>
            <w:tcMar>
              <w:top w:type="dxa" w:w="60"/>
              <w:left w:type="dxa" w:w="80"/>
              <w:bottom w:type="dxa" w:w="60"/>
              <w:right w:type="dxa" w:w="80"/>
            </w:tcMar>
            <w:vAlign w:val="center"/>
          </w:tcPr>
          <w:p>
            <w:pPr>
              <w:jc w:val="center"/>
            </w:pPr>
            <w:r>
              <w:rPr>
                <w:rFonts w:ascii="Calibri" w:cs="Calibri" w:eastAsia="Calibri" w:hAnsi="Calibri"/>
                <w:b/>
                <w:bCs/>
                <w:color w:val="FFFFFF"/>
                <w:sz w:val="18"/>
                <w:szCs w:val="18"/>
              </w:rPr>
              <w:t xml:space="preserve">5-Day Bull</w:t>
            </w:r>
          </w:p>
        </w:tc>
        <w:tc>
          <w:tcPr>
            <w:tcW w:type="dxa" w:w="900"/>
            <w:tcBorders>
              <w:top w:val="single" w:color="CCCCCC" w:sz="4"/>
              <w:left w:val="single" w:color="CCCCCC" w:sz="4"/>
              <w:bottom w:val="single" w:color="CCCCCC" w:sz="4"/>
              <w:right w:val="single" w:color="CCCCCC" w:sz="4"/>
            </w:tcBorders>
            <w:shd w:fill="888888" w:val="clear"/>
            <w:tcMar>
              <w:top w:type="dxa" w:w="60"/>
              <w:left w:type="dxa" w:w="80"/>
              <w:bottom w:type="dxa" w:w="60"/>
              <w:right w:type="dxa" w:w="80"/>
            </w:tcMar>
            <w:vAlign w:val="center"/>
          </w:tcPr>
          <w:p>
            <w:pPr>
              <w:jc w:val="center"/>
            </w:pPr>
            <w:r>
              <w:rPr>
                <w:rFonts w:ascii="Calibri" w:cs="Calibri" w:eastAsia="Calibri" w:hAnsi="Calibri"/>
                <w:b/>
                <w:bCs/>
                <w:color w:val="FFFFFF"/>
                <w:sz w:val="18"/>
                <w:szCs w:val="18"/>
              </w:rPr>
              <w:t xml:space="preserve">5-Day Neut</w:t>
            </w:r>
          </w:p>
        </w:tc>
        <w:tc>
          <w:tcPr>
            <w:tcW w:type="dxa" w:w="900"/>
            <w:tcBorders>
              <w:top w:val="single" w:color="CCCCCC" w:sz="4"/>
              <w:left w:val="single" w:color="CCCCCC" w:sz="4"/>
              <w:bottom w:val="single" w:color="CCCCCC" w:sz="4"/>
              <w:right w:val="single" w:color="CCCCCC" w:sz="4"/>
            </w:tcBorders>
            <w:shd w:fill="8B1F1F" w:val="clear"/>
            <w:tcMar>
              <w:top w:type="dxa" w:w="60"/>
              <w:left w:type="dxa" w:w="80"/>
              <w:bottom w:type="dxa" w:w="60"/>
              <w:right w:type="dxa" w:w="80"/>
            </w:tcMar>
            <w:vAlign w:val="center"/>
          </w:tcPr>
          <w:p>
            <w:pPr>
              <w:jc w:val="center"/>
            </w:pPr>
            <w:r>
              <w:rPr>
                <w:rFonts w:ascii="Calibri" w:cs="Calibri" w:eastAsia="Calibri" w:hAnsi="Calibri"/>
                <w:b/>
                <w:bCs/>
                <w:color w:val="FFFFFF"/>
                <w:sz w:val="18"/>
                <w:szCs w:val="18"/>
              </w:rPr>
              <w:t xml:space="preserve">5-Day Bear</w:t>
            </w:r>
          </w:p>
        </w:tc>
        <w:tc>
          <w:tcPr>
            <w:tcW w:type="dxa" w:w="900"/>
            <w:tcBorders>
              <w:top w:val="single" w:color="CCCCCC" w:sz="4"/>
              <w:left w:val="single" w:color="CCCCCC" w:sz="4"/>
              <w:bottom w:val="single" w:color="CCCCCC" w:sz="4"/>
              <w:right w:val="single" w:color="CCCCCC" w:sz="4"/>
            </w:tcBorders>
            <w:shd w:fill="1F5C8B" w:val="clear"/>
            <w:tcMar>
              <w:top w:type="dxa" w:w="60"/>
              <w:left w:type="dxa" w:w="80"/>
              <w:bottom w:type="dxa" w:w="60"/>
              <w:right w:type="dxa" w:w="80"/>
            </w:tcMar>
            <w:vAlign w:val="center"/>
          </w:tcPr>
          <w:p>
            <w:pPr>
              <w:jc w:val="center"/>
            </w:pPr>
            <w:r>
              <w:rPr>
                <w:rFonts w:ascii="Calibri" w:cs="Calibri" w:eastAsia="Calibri" w:hAnsi="Calibri"/>
                <w:b/>
                <w:bCs/>
                <w:color w:val="FFFFFF"/>
                <w:sz w:val="18"/>
                <w:szCs w:val="18"/>
              </w:rPr>
              <w:t xml:space="preserve">10-Day Bull</w:t>
            </w:r>
          </w:p>
        </w:tc>
        <w:tc>
          <w:tcPr>
            <w:tcW w:type="dxa" w:w="900"/>
            <w:tcBorders>
              <w:top w:val="single" w:color="CCCCCC" w:sz="4"/>
              <w:left w:val="single" w:color="CCCCCC" w:sz="4"/>
              <w:bottom w:val="single" w:color="CCCCCC" w:sz="4"/>
              <w:right w:val="single" w:color="CCCCCC" w:sz="4"/>
            </w:tcBorders>
            <w:shd w:fill="888888" w:val="clear"/>
            <w:tcMar>
              <w:top w:type="dxa" w:w="60"/>
              <w:left w:type="dxa" w:w="80"/>
              <w:bottom w:type="dxa" w:w="60"/>
              <w:right w:type="dxa" w:w="80"/>
            </w:tcMar>
            <w:vAlign w:val="center"/>
          </w:tcPr>
          <w:p>
            <w:pPr>
              <w:jc w:val="center"/>
            </w:pPr>
            <w:r>
              <w:rPr>
                <w:rFonts w:ascii="Calibri" w:cs="Calibri" w:eastAsia="Calibri" w:hAnsi="Calibri"/>
                <w:b/>
                <w:bCs/>
                <w:color w:val="FFFFFF"/>
                <w:sz w:val="18"/>
                <w:szCs w:val="18"/>
              </w:rPr>
              <w:t xml:space="preserve">10-Day Neut</w:t>
            </w:r>
          </w:p>
        </w:tc>
        <w:tc>
          <w:tcPr>
            <w:tcW w:type="dxa" w:w="900"/>
            <w:tcBorders>
              <w:top w:val="single" w:color="CCCCCC" w:sz="4"/>
              <w:left w:val="single" w:color="CCCCCC" w:sz="4"/>
              <w:bottom w:val="single" w:color="CCCCCC" w:sz="4"/>
              <w:right w:val="single" w:color="CCCCCC" w:sz="4"/>
            </w:tcBorders>
            <w:shd w:fill="8B1F1F" w:val="clear"/>
            <w:tcMar>
              <w:top w:type="dxa" w:w="60"/>
              <w:left w:type="dxa" w:w="80"/>
              <w:bottom w:type="dxa" w:w="60"/>
              <w:right w:type="dxa" w:w="80"/>
            </w:tcMar>
            <w:vAlign w:val="center"/>
          </w:tcPr>
          <w:p>
            <w:pPr>
              <w:jc w:val="center"/>
            </w:pPr>
            <w:r>
              <w:rPr>
                <w:rFonts w:ascii="Calibri" w:cs="Calibri" w:eastAsia="Calibri" w:hAnsi="Calibri"/>
                <w:b/>
                <w:bCs/>
                <w:color w:val="FFFFFF"/>
                <w:sz w:val="18"/>
                <w:szCs w:val="18"/>
              </w:rPr>
              <w:t xml:space="preserve">10-Day Bear</w:t>
            </w:r>
          </w:p>
        </w:tc>
        <w:tc>
          <w:tcPr>
            <w:tcW w:type="dxa" w:w="900"/>
            <w:tcBorders>
              <w:top w:val="single" w:color="CCCCCC" w:sz="4"/>
              <w:left w:val="single" w:color="CCCCCC" w:sz="4"/>
              <w:bottom w:val="single" w:color="CCCCCC" w:sz="4"/>
              <w:right w:val="single" w:color="CCCCCC" w:sz="4"/>
            </w:tcBorders>
            <w:shd w:fill="1F5C8B" w:val="clear"/>
            <w:tcMar>
              <w:top w:type="dxa" w:w="60"/>
              <w:left w:type="dxa" w:w="80"/>
              <w:bottom w:type="dxa" w:w="60"/>
              <w:right w:type="dxa" w:w="80"/>
            </w:tcMar>
            <w:vAlign w:val="center"/>
          </w:tcPr>
          <w:p>
            <w:pPr>
              <w:jc w:val="center"/>
            </w:pPr>
            <w:r>
              <w:rPr>
                <w:rFonts w:ascii="Calibri" w:cs="Calibri" w:eastAsia="Calibri" w:hAnsi="Calibri"/>
                <w:b/>
                <w:bCs/>
                <w:color w:val="FFFFFF"/>
                <w:sz w:val="18"/>
                <w:szCs w:val="18"/>
              </w:rPr>
              <w:t xml:space="preserve">30-Day Bull</w:t>
            </w:r>
          </w:p>
        </w:tc>
        <w:tc>
          <w:tcPr>
            <w:tcW w:type="dxa" w:w="900"/>
            <w:tcBorders>
              <w:top w:val="single" w:color="CCCCCC" w:sz="4"/>
              <w:left w:val="single" w:color="CCCCCC" w:sz="4"/>
              <w:bottom w:val="single" w:color="CCCCCC" w:sz="4"/>
              <w:right w:val="single" w:color="CCCCCC" w:sz="4"/>
            </w:tcBorders>
            <w:shd w:fill="888888" w:val="clear"/>
            <w:tcMar>
              <w:top w:type="dxa" w:w="60"/>
              <w:left w:type="dxa" w:w="80"/>
              <w:bottom w:type="dxa" w:w="60"/>
              <w:right w:type="dxa" w:w="80"/>
            </w:tcMar>
            <w:vAlign w:val="center"/>
          </w:tcPr>
          <w:p>
            <w:pPr>
              <w:jc w:val="center"/>
            </w:pPr>
            <w:r>
              <w:rPr>
                <w:rFonts w:ascii="Calibri" w:cs="Calibri" w:eastAsia="Calibri" w:hAnsi="Calibri"/>
                <w:b/>
                <w:bCs/>
                <w:color w:val="FFFFFF"/>
                <w:sz w:val="18"/>
                <w:szCs w:val="18"/>
              </w:rPr>
              <w:t xml:space="preserve">30-Day Neut</w:t>
            </w:r>
          </w:p>
        </w:tc>
        <w:tc>
          <w:tcPr>
            <w:tcW w:type="dxa" w:w="900"/>
            <w:tcBorders>
              <w:top w:val="single" w:color="CCCCCC" w:sz="4"/>
              <w:left w:val="single" w:color="CCCCCC" w:sz="4"/>
              <w:bottom w:val="single" w:color="CCCCCC" w:sz="4"/>
              <w:right w:val="single" w:color="CCCCCC" w:sz="4"/>
            </w:tcBorders>
            <w:shd w:fill="8B1F1F" w:val="clear"/>
            <w:tcMar>
              <w:top w:type="dxa" w:w="60"/>
              <w:left w:type="dxa" w:w="80"/>
              <w:bottom w:type="dxa" w:w="60"/>
              <w:right w:type="dxa" w:w="80"/>
            </w:tcMar>
            <w:vAlign w:val="center"/>
          </w:tcPr>
          <w:p>
            <w:pPr>
              <w:jc w:val="center"/>
            </w:pPr>
            <w:r>
              <w:rPr>
                <w:rFonts w:ascii="Calibri" w:cs="Calibri" w:eastAsia="Calibri" w:hAnsi="Calibri"/>
                <w:b/>
                <w:bCs/>
                <w:color w:val="FFFFFF"/>
                <w:sz w:val="18"/>
                <w:szCs w:val="18"/>
              </w:rPr>
              <w:t xml:space="preserve">30-Day Bear</w:t>
            </w:r>
          </w:p>
        </w:tc>
      </w:tr>
      <w:tr>
        <w:tc>
          <w:tcPr>
            <w:tcW w:type="dxa" w:w="1560"/>
            <w:tcBorders>
              <w:top w:val="single" w:color="CCCCCC" w:sz="4"/>
              <w:left w:val="single" w:color="CCCCCC" w:sz="4"/>
              <w:bottom w:val="single" w:color="CCCCCC" w:sz="4"/>
              <w:right w:val="single" w:color="CCCCCC" w:sz="4"/>
            </w:tcBorders>
            <w:shd w:fill="F2F2F2" w:val="clear"/>
            <w:tcMar>
              <w:top w:type="dxa" w:w="60"/>
              <w:left w:type="dxa" w:w="80"/>
              <w:bottom w:type="dxa" w:w="60"/>
              <w:right w:type="dxa" w:w="80"/>
            </w:tcMar>
            <w:vAlign w:val="center"/>
          </w:tcPr>
          <w:p>
            <w:pPr>
              <w:jc w:val="center"/>
            </w:pPr>
            <w:r>
              <w:rPr>
                <w:rFonts w:ascii="Calibri" w:cs="Calibri" w:eastAsia="Calibri" w:hAnsi="Calibri"/>
                <w:b/>
                <w:bCs/>
                <w:color w:val="000000"/>
                <w:sz w:val="18"/>
                <w:szCs w:val="18"/>
              </w:rPr>
              <w:t xml:space="preserve"/>
            </w:r>
          </w:p>
        </w:tc>
        <w:tc>
          <w:tcPr>
            <w:tcW w:type="dxa" w:w="900"/>
            <w:tcBorders>
              <w:top w:val="single" w:color="CCCCCC" w:sz="4"/>
              <w:left w:val="single" w:color="CCCCCC" w:sz="4"/>
              <w:bottom w:val="single" w:color="CCCCCC" w:sz="4"/>
              <w:right w:val="single" w:color="CCCCCC" w:sz="4"/>
            </w:tcBorders>
            <w:tcMar>
              <w:top w:type="dxa" w:w="50"/>
              <w:left w:type="dxa" w:w="80"/>
              <w:bottom w:type="dxa" w:w="50"/>
              <w:right w:type="dxa" w:w="80"/>
            </w:tcMar>
          </w:tcPr>
          <w:p>
            <w:pPr>
              <w:jc w:val="center"/>
            </w:pPr>
            <w:r>
              <w:rPr>
                <w:rFonts w:ascii="Calibri" w:cs="Calibri" w:eastAsia="Calibri" w:hAnsi="Calibri"/>
                <w:color w:val="333333"/>
                <w:sz w:val="18"/>
                <w:szCs w:val="18"/>
              </w:rPr>
              <w:t xml:space="preserve">35%</w:t>
            </w:r>
          </w:p>
        </w:tc>
        <w:tc>
          <w:tcPr>
            <w:tcW w:type="dxa" w:w="900"/>
            <w:tcBorders>
              <w:top w:val="single" w:color="CCCCCC" w:sz="4"/>
              <w:left w:val="single" w:color="CCCCCC" w:sz="4"/>
              <w:bottom w:val="single" w:color="CCCCCC" w:sz="4"/>
              <w:right w:val="single" w:color="CCCCCC" w:sz="4"/>
            </w:tcBorders>
            <w:tcMar>
              <w:top w:type="dxa" w:w="50"/>
              <w:left w:type="dxa" w:w="80"/>
              <w:bottom w:type="dxa" w:w="50"/>
              <w:right w:type="dxa" w:w="80"/>
            </w:tcMar>
          </w:tcPr>
          <w:p>
            <w:pPr>
              <w:jc w:val="center"/>
            </w:pPr>
            <w:r>
              <w:rPr>
                <w:rFonts w:ascii="Calibri" w:cs="Calibri" w:eastAsia="Calibri" w:hAnsi="Calibri"/>
                <w:color w:val="333333"/>
                <w:sz w:val="18"/>
                <w:szCs w:val="18"/>
              </w:rPr>
              <w:t xml:space="preserve">20%</w:t>
            </w:r>
          </w:p>
        </w:tc>
        <w:tc>
          <w:tcPr>
            <w:tcW w:type="dxa" w:w="900"/>
            <w:tcBorders>
              <w:top w:val="single" w:color="CCCCCC" w:sz="4"/>
              <w:left w:val="single" w:color="CCCCCC" w:sz="4"/>
              <w:bottom w:val="single" w:color="CCCCCC" w:sz="4"/>
              <w:right w:val="single" w:color="CCCCCC" w:sz="4"/>
            </w:tcBorders>
            <w:tcMar>
              <w:top w:type="dxa" w:w="50"/>
              <w:left w:type="dxa" w:w="80"/>
              <w:bottom w:type="dxa" w:w="50"/>
              <w:right w:type="dxa" w:w="80"/>
            </w:tcMar>
          </w:tcPr>
          <w:p>
            <w:pPr>
              <w:jc w:val="center"/>
            </w:pPr>
            <w:r>
              <w:rPr>
                <w:rFonts w:ascii="Calibri" w:cs="Calibri" w:eastAsia="Calibri" w:hAnsi="Calibri"/>
                <w:color w:val="333333"/>
                <w:sz w:val="18"/>
                <w:szCs w:val="18"/>
              </w:rPr>
              <w:t xml:space="preserve">45%</w:t>
            </w:r>
          </w:p>
        </w:tc>
        <w:tc>
          <w:tcPr>
            <w:tcW w:type="dxa" w:w="900"/>
            <w:tcBorders>
              <w:top w:val="single" w:color="CCCCCC" w:sz="4"/>
              <w:left w:val="single" w:color="CCCCCC" w:sz="4"/>
              <w:bottom w:val="single" w:color="CCCCCC" w:sz="4"/>
              <w:right w:val="single" w:color="CCCCCC" w:sz="4"/>
            </w:tcBorders>
            <w:tcMar>
              <w:top w:type="dxa" w:w="50"/>
              <w:left w:type="dxa" w:w="80"/>
              <w:bottom w:type="dxa" w:w="50"/>
              <w:right w:type="dxa" w:w="80"/>
            </w:tcMar>
          </w:tcPr>
          <w:p>
            <w:pPr>
              <w:jc w:val="center"/>
            </w:pPr>
            <w:r>
              <w:rPr>
                <w:rFonts w:ascii="Calibri" w:cs="Calibri" w:eastAsia="Calibri" w:hAnsi="Calibri"/>
                <w:color w:val="333333"/>
                <w:sz w:val="18"/>
                <w:szCs w:val="18"/>
              </w:rPr>
              <w:t xml:space="preserve">40%</w:t>
            </w:r>
          </w:p>
        </w:tc>
        <w:tc>
          <w:tcPr>
            <w:tcW w:type="dxa" w:w="900"/>
            <w:tcBorders>
              <w:top w:val="single" w:color="CCCCCC" w:sz="4"/>
              <w:left w:val="single" w:color="CCCCCC" w:sz="4"/>
              <w:bottom w:val="single" w:color="CCCCCC" w:sz="4"/>
              <w:right w:val="single" w:color="CCCCCC" w:sz="4"/>
            </w:tcBorders>
            <w:tcMar>
              <w:top w:type="dxa" w:w="50"/>
              <w:left w:type="dxa" w:w="80"/>
              <w:bottom w:type="dxa" w:w="50"/>
              <w:right w:type="dxa" w:w="80"/>
            </w:tcMar>
          </w:tcPr>
          <w:p>
            <w:pPr>
              <w:jc w:val="center"/>
            </w:pPr>
            <w:r>
              <w:rPr>
                <w:rFonts w:ascii="Calibri" w:cs="Calibri" w:eastAsia="Calibri" w:hAnsi="Calibri"/>
                <w:color w:val="333333"/>
                <w:sz w:val="18"/>
                <w:szCs w:val="18"/>
              </w:rPr>
              <w:t xml:space="preserve">18%</w:t>
            </w:r>
          </w:p>
        </w:tc>
        <w:tc>
          <w:tcPr>
            <w:tcW w:type="dxa" w:w="900"/>
            <w:tcBorders>
              <w:top w:val="single" w:color="CCCCCC" w:sz="4"/>
              <w:left w:val="single" w:color="CCCCCC" w:sz="4"/>
              <w:bottom w:val="single" w:color="CCCCCC" w:sz="4"/>
              <w:right w:val="single" w:color="CCCCCC" w:sz="4"/>
            </w:tcBorders>
            <w:tcMar>
              <w:top w:type="dxa" w:w="50"/>
              <w:left w:type="dxa" w:w="80"/>
              <w:bottom w:type="dxa" w:w="50"/>
              <w:right w:type="dxa" w:w="80"/>
            </w:tcMar>
          </w:tcPr>
          <w:p>
            <w:pPr>
              <w:jc w:val="center"/>
            </w:pPr>
            <w:r>
              <w:rPr>
                <w:rFonts w:ascii="Calibri" w:cs="Calibri" w:eastAsia="Calibri" w:hAnsi="Calibri"/>
                <w:color w:val="333333"/>
                <w:sz w:val="18"/>
                <w:szCs w:val="18"/>
              </w:rPr>
              <w:t xml:space="preserve">42%</w:t>
            </w:r>
          </w:p>
        </w:tc>
        <w:tc>
          <w:tcPr>
            <w:tcW w:type="dxa" w:w="900"/>
            <w:tcBorders>
              <w:top w:val="single" w:color="CCCCCC" w:sz="4"/>
              <w:left w:val="single" w:color="CCCCCC" w:sz="4"/>
              <w:bottom w:val="single" w:color="CCCCCC" w:sz="4"/>
              <w:right w:val="single" w:color="CCCCCC" w:sz="4"/>
            </w:tcBorders>
            <w:tcMar>
              <w:top w:type="dxa" w:w="50"/>
              <w:left w:type="dxa" w:w="80"/>
              <w:bottom w:type="dxa" w:w="50"/>
              <w:right w:type="dxa" w:w="80"/>
            </w:tcMar>
          </w:tcPr>
          <w:p>
            <w:pPr>
              <w:jc w:val="center"/>
            </w:pPr>
            <w:r>
              <w:rPr>
                <w:rFonts w:ascii="Calibri" w:cs="Calibri" w:eastAsia="Calibri" w:hAnsi="Calibri"/>
                <w:color w:val="333333"/>
                <w:sz w:val="18"/>
                <w:szCs w:val="18"/>
              </w:rPr>
              <w:t xml:space="preserve">50%</w:t>
            </w:r>
          </w:p>
        </w:tc>
        <w:tc>
          <w:tcPr>
            <w:tcW w:type="dxa" w:w="900"/>
            <w:tcBorders>
              <w:top w:val="single" w:color="CCCCCC" w:sz="4"/>
              <w:left w:val="single" w:color="CCCCCC" w:sz="4"/>
              <w:bottom w:val="single" w:color="CCCCCC" w:sz="4"/>
              <w:right w:val="single" w:color="CCCCCC" w:sz="4"/>
            </w:tcBorders>
            <w:tcMar>
              <w:top w:type="dxa" w:w="50"/>
              <w:left w:type="dxa" w:w="80"/>
              <w:bottom w:type="dxa" w:w="50"/>
              <w:right w:type="dxa" w:w="80"/>
            </w:tcMar>
          </w:tcPr>
          <w:p>
            <w:pPr>
              <w:jc w:val="center"/>
            </w:pPr>
            <w:r>
              <w:rPr>
                <w:rFonts w:ascii="Calibri" w:cs="Calibri" w:eastAsia="Calibri" w:hAnsi="Calibri"/>
                <w:color w:val="333333"/>
                <w:sz w:val="18"/>
                <w:szCs w:val="18"/>
              </w:rPr>
              <w:t xml:space="preserve">16%</w:t>
            </w:r>
          </w:p>
        </w:tc>
        <w:tc>
          <w:tcPr>
            <w:tcW w:type="dxa" w:w="900"/>
            <w:tcBorders>
              <w:top w:val="single" w:color="CCCCCC" w:sz="4"/>
              <w:left w:val="single" w:color="CCCCCC" w:sz="4"/>
              <w:bottom w:val="single" w:color="CCCCCC" w:sz="4"/>
              <w:right w:val="single" w:color="CCCCCC" w:sz="4"/>
            </w:tcBorders>
            <w:tcMar>
              <w:top w:type="dxa" w:w="50"/>
              <w:left w:type="dxa" w:w="80"/>
              <w:bottom w:type="dxa" w:w="50"/>
              <w:right w:type="dxa" w:w="80"/>
            </w:tcMar>
          </w:tcPr>
          <w:p>
            <w:pPr>
              <w:jc w:val="center"/>
            </w:pPr>
            <w:r>
              <w:rPr>
                <w:rFonts w:ascii="Calibri" w:cs="Calibri" w:eastAsia="Calibri" w:hAnsi="Calibri"/>
                <w:color w:val="333333"/>
                <w:sz w:val="18"/>
                <w:szCs w:val="18"/>
              </w:rPr>
              <w:t xml:space="preserve">34%</w:t>
            </w:r>
          </w:p>
        </w:tc>
      </w:tr>
    </w:tbl>
    <w:p>
      <w:pPr>
        <w:spacing w:after="60" w:before="60"/>
      </w:pPr>
      <w:r>
        <w:rPr>
          <w:rFonts w:ascii="Calibri" w:cs="Calibri" w:eastAsia="Calibri" w:hAnsi="Calibri"/>
          <w:sz w:val="20"/>
          <w:szCs w:val="20"/>
        </w:rPr>
        <w:t xml:space="preserve"/>
      </w:r>
    </w:p>
    <w:p>
      <w:pPr>
        <w:spacing w:after="40" w:before="100"/>
      </w:pPr>
      <w:r>
        <w:rPr>
          <w:rFonts w:ascii="Calibri" w:cs="Calibri" w:eastAsia="Calibri" w:hAnsi="Calibri"/>
          <w:b/>
          <w:bCs/>
          <w:color w:val="7F6000"/>
          <w:sz w:val="20"/>
          <w:szCs w:val="20"/>
        </w:rPr>
        <w:t xml:space="preserve">ChatGPT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900"/>
        <w:gridCol w:w="900"/>
        <w:gridCol w:w="900"/>
        <w:gridCol w:w="900"/>
        <w:gridCol w:w="900"/>
        <w:gridCol w:w="900"/>
        <w:gridCol w:w="900"/>
        <w:gridCol w:w="900"/>
        <w:gridCol w:w="900"/>
      </w:tblGrid>
      <w:tr>
        <w:tc>
          <w:tcPr>
            <w:tcW w:type="dxa" w:w="1560"/>
            <w:tcBorders>
              <w:top w:val="single" w:color="CCCCCC" w:sz="4"/>
              <w:left w:val="single" w:color="CCCCCC" w:sz="4"/>
              <w:bottom w:val="single" w:color="CCCCCC" w:sz="4"/>
              <w:right w:val="single" w:color="CCCCCC" w:sz="4"/>
            </w:tcBorders>
            <w:shd w:fill="8B6914" w:val="clear"/>
            <w:tcMar>
              <w:top w:type="dxa" w:w="60"/>
              <w:left w:type="dxa" w:w="80"/>
              <w:bottom w:type="dxa" w:w="60"/>
              <w:right w:type="dxa" w:w="80"/>
            </w:tcMar>
            <w:vAlign w:val="center"/>
          </w:tcPr>
          <w:p>
            <w:pPr>
              <w:jc w:val="center"/>
            </w:pPr>
            <w:r>
              <w:rPr>
                <w:rFonts w:ascii="Calibri" w:cs="Calibri" w:eastAsia="Calibri" w:hAnsi="Calibri"/>
                <w:b/>
                <w:bCs/>
                <w:color w:val="FFFFFF"/>
                <w:sz w:val="18"/>
                <w:szCs w:val="18"/>
              </w:rPr>
              <w:t xml:space="preserve">ChatGPT</w:t>
            </w:r>
          </w:p>
        </w:tc>
        <w:tc>
          <w:tcPr>
            <w:tcW w:type="dxa" w:w="900"/>
            <w:tcBorders>
              <w:top w:val="single" w:color="CCCCCC" w:sz="4"/>
              <w:left w:val="single" w:color="CCCCCC" w:sz="4"/>
              <w:bottom w:val="single" w:color="CCCCCC" w:sz="4"/>
              <w:right w:val="single" w:color="CCCCCC" w:sz="4"/>
            </w:tcBorders>
            <w:shd w:fill="1F5C8B" w:val="clear"/>
            <w:tcMar>
              <w:top w:type="dxa" w:w="60"/>
              <w:left w:type="dxa" w:w="80"/>
              <w:bottom w:type="dxa" w:w="60"/>
              <w:right w:type="dxa" w:w="80"/>
            </w:tcMar>
            <w:vAlign w:val="center"/>
          </w:tcPr>
          <w:p>
            <w:pPr>
              <w:jc w:val="center"/>
            </w:pPr>
            <w:r>
              <w:rPr>
                <w:rFonts w:ascii="Calibri" w:cs="Calibri" w:eastAsia="Calibri" w:hAnsi="Calibri"/>
                <w:b/>
                <w:bCs/>
                <w:color w:val="FFFFFF"/>
                <w:sz w:val="18"/>
                <w:szCs w:val="18"/>
              </w:rPr>
              <w:t xml:space="preserve">5-Day Bull</w:t>
            </w:r>
          </w:p>
        </w:tc>
        <w:tc>
          <w:tcPr>
            <w:tcW w:type="dxa" w:w="900"/>
            <w:tcBorders>
              <w:top w:val="single" w:color="CCCCCC" w:sz="4"/>
              <w:left w:val="single" w:color="CCCCCC" w:sz="4"/>
              <w:bottom w:val="single" w:color="CCCCCC" w:sz="4"/>
              <w:right w:val="single" w:color="CCCCCC" w:sz="4"/>
            </w:tcBorders>
            <w:shd w:fill="888888" w:val="clear"/>
            <w:tcMar>
              <w:top w:type="dxa" w:w="60"/>
              <w:left w:type="dxa" w:w="80"/>
              <w:bottom w:type="dxa" w:w="60"/>
              <w:right w:type="dxa" w:w="80"/>
            </w:tcMar>
            <w:vAlign w:val="center"/>
          </w:tcPr>
          <w:p>
            <w:pPr>
              <w:jc w:val="center"/>
            </w:pPr>
            <w:r>
              <w:rPr>
                <w:rFonts w:ascii="Calibri" w:cs="Calibri" w:eastAsia="Calibri" w:hAnsi="Calibri"/>
                <w:b/>
                <w:bCs/>
                <w:color w:val="FFFFFF"/>
                <w:sz w:val="18"/>
                <w:szCs w:val="18"/>
              </w:rPr>
              <w:t xml:space="preserve">5-Day Neut</w:t>
            </w:r>
          </w:p>
        </w:tc>
        <w:tc>
          <w:tcPr>
            <w:tcW w:type="dxa" w:w="900"/>
            <w:tcBorders>
              <w:top w:val="single" w:color="CCCCCC" w:sz="4"/>
              <w:left w:val="single" w:color="CCCCCC" w:sz="4"/>
              <w:bottom w:val="single" w:color="CCCCCC" w:sz="4"/>
              <w:right w:val="single" w:color="CCCCCC" w:sz="4"/>
            </w:tcBorders>
            <w:shd w:fill="8B1F1F" w:val="clear"/>
            <w:tcMar>
              <w:top w:type="dxa" w:w="60"/>
              <w:left w:type="dxa" w:w="80"/>
              <w:bottom w:type="dxa" w:w="60"/>
              <w:right w:type="dxa" w:w="80"/>
            </w:tcMar>
            <w:vAlign w:val="center"/>
          </w:tcPr>
          <w:p>
            <w:pPr>
              <w:jc w:val="center"/>
            </w:pPr>
            <w:r>
              <w:rPr>
                <w:rFonts w:ascii="Calibri" w:cs="Calibri" w:eastAsia="Calibri" w:hAnsi="Calibri"/>
                <w:b/>
                <w:bCs/>
                <w:color w:val="FFFFFF"/>
                <w:sz w:val="18"/>
                <w:szCs w:val="18"/>
              </w:rPr>
              <w:t xml:space="preserve">5-Day Bear</w:t>
            </w:r>
          </w:p>
        </w:tc>
        <w:tc>
          <w:tcPr>
            <w:tcW w:type="dxa" w:w="900"/>
            <w:tcBorders>
              <w:top w:val="single" w:color="CCCCCC" w:sz="4"/>
              <w:left w:val="single" w:color="CCCCCC" w:sz="4"/>
              <w:bottom w:val="single" w:color="CCCCCC" w:sz="4"/>
              <w:right w:val="single" w:color="CCCCCC" w:sz="4"/>
            </w:tcBorders>
            <w:shd w:fill="1F5C8B" w:val="clear"/>
            <w:tcMar>
              <w:top w:type="dxa" w:w="60"/>
              <w:left w:type="dxa" w:w="80"/>
              <w:bottom w:type="dxa" w:w="60"/>
              <w:right w:type="dxa" w:w="80"/>
            </w:tcMar>
            <w:vAlign w:val="center"/>
          </w:tcPr>
          <w:p>
            <w:pPr>
              <w:jc w:val="center"/>
            </w:pPr>
            <w:r>
              <w:rPr>
                <w:rFonts w:ascii="Calibri" w:cs="Calibri" w:eastAsia="Calibri" w:hAnsi="Calibri"/>
                <w:b/>
                <w:bCs/>
                <w:color w:val="FFFFFF"/>
                <w:sz w:val="18"/>
                <w:szCs w:val="18"/>
              </w:rPr>
              <w:t xml:space="preserve">10-Day Bull</w:t>
            </w:r>
          </w:p>
        </w:tc>
        <w:tc>
          <w:tcPr>
            <w:tcW w:type="dxa" w:w="900"/>
            <w:tcBorders>
              <w:top w:val="single" w:color="CCCCCC" w:sz="4"/>
              <w:left w:val="single" w:color="CCCCCC" w:sz="4"/>
              <w:bottom w:val="single" w:color="CCCCCC" w:sz="4"/>
              <w:right w:val="single" w:color="CCCCCC" w:sz="4"/>
            </w:tcBorders>
            <w:shd w:fill="888888" w:val="clear"/>
            <w:tcMar>
              <w:top w:type="dxa" w:w="60"/>
              <w:left w:type="dxa" w:w="80"/>
              <w:bottom w:type="dxa" w:w="60"/>
              <w:right w:type="dxa" w:w="80"/>
            </w:tcMar>
            <w:vAlign w:val="center"/>
          </w:tcPr>
          <w:p>
            <w:pPr>
              <w:jc w:val="center"/>
            </w:pPr>
            <w:r>
              <w:rPr>
                <w:rFonts w:ascii="Calibri" w:cs="Calibri" w:eastAsia="Calibri" w:hAnsi="Calibri"/>
                <w:b/>
                <w:bCs/>
                <w:color w:val="FFFFFF"/>
                <w:sz w:val="18"/>
                <w:szCs w:val="18"/>
              </w:rPr>
              <w:t xml:space="preserve">10-Day Neut</w:t>
            </w:r>
          </w:p>
        </w:tc>
        <w:tc>
          <w:tcPr>
            <w:tcW w:type="dxa" w:w="900"/>
            <w:tcBorders>
              <w:top w:val="single" w:color="CCCCCC" w:sz="4"/>
              <w:left w:val="single" w:color="CCCCCC" w:sz="4"/>
              <w:bottom w:val="single" w:color="CCCCCC" w:sz="4"/>
              <w:right w:val="single" w:color="CCCCCC" w:sz="4"/>
            </w:tcBorders>
            <w:shd w:fill="8B1F1F" w:val="clear"/>
            <w:tcMar>
              <w:top w:type="dxa" w:w="60"/>
              <w:left w:type="dxa" w:w="80"/>
              <w:bottom w:type="dxa" w:w="60"/>
              <w:right w:type="dxa" w:w="80"/>
            </w:tcMar>
            <w:vAlign w:val="center"/>
          </w:tcPr>
          <w:p>
            <w:pPr>
              <w:jc w:val="center"/>
            </w:pPr>
            <w:r>
              <w:rPr>
                <w:rFonts w:ascii="Calibri" w:cs="Calibri" w:eastAsia="Calibri" w:hAnsi="Calibri"/>
                <w:b/>
                <w:bCs/>
                <w:color w:val="FFFFFF"/>
                <w:sz w:val="18"/>
                <w:szCs w:val="18"/>
              </w:rPr>
              <w:t xml:space="preserve">10-Day Bear</w:t>
            </w:r>
          </w:p>
        </w:tc>
        <w:tc>
          <w:tcPr>
            <w:tcW w:type="dxa" w:w="900"/>
            <w:tcBorders>
              <w:top w:val="single" w:color="CCCCCC" w:sz="4"/>
              <w:left w:val="single" w:color="CCCCCC" w:sz="4"/>
              <w:bottom w:val="single" w:color="CCCCCC" w:sz="4"/>
              <w:right w:val="single" w:color="CCCCCC" w:sz="4"/>
            </w:tcBorders>
            <w:shd w:fill="1F5C8B" w:val="clear"/>
            <w:tcMar>
              <w:top w:type="dxa" w:w="60"/>
              <w:left w:type="dxa" w:w="80"/>
              <w:bottom w:type="dxa" w:w="60"/>
              <w:right w:type="dxa" w:w="80"/>
            </w:tcMar>
            <w:vAlign w:val="center"/>
          </w:tcPr>
          <w:p>
            <w:pPr>
              <w:jc w:val="center"/>
            </w:pPr>
            <w:r>
              <w:rPr>
                <w:rFonts w:ascii="Calibri" w:cs="Calibri" w:eastAsia="Calibri" w:hAnsi="Calibri"/>
                <w:b/>
                <w:bCs/>
                <w:color w:val="FFFFFF"/>
                <w:sz w:val="18"/>
                <w:szCs w:val="18"/>
              </w:rPr>
              <w:t xml:space="preserve">30-Day Bull</w:t>
            </w:r>
          </w:p>
        </w:tc>
        <w:tc>
          <w:tcPr>
            <w:tcW w:type="dxa" w:w="900"/>
            <w:tcBorders>
              <w:top w:val="single" w:color="CCCCCC" w:sz="4"/>
              <w:left w:val="single" w:color="CCCCCC" w:sz="4"/>
              <w:bottom w:val="single" w:color="CCCCCC" w:sz="4"/>
              <w:right w:val="single" w:color="CCCCCC" w:sz="4"/>
            </w:tcBorders>
            <w:shd w:fill="888888" w:val="clear"/>
            <w:tcMar>
              <w:top w:type="dxa" w:w="60"/>
              <w:left w:type="dxa" w:w="80"/>
              <w:bottom w:type="dxa" w:w="60"/>
              <w:right w:type="dxa" w:w="80"/>
            </w:tcMar>
            <w:vAlign w:val="center"/>
          </w:tcPr>
          <w:p>
            <w:pPr>
              <w:jc w:val="center"/>
            </w:pPr>
            <w:r>
              <w:rPr>
                <w:rFonts w:ascii="Calibri" w:cs="Calibri" w:eastAsia="Calibri" w:hAnsi="Calibri"/>
                <w:b/>
                <w:bCs/>
                <w:color w:val="FFFFFF"/>
                <w:sz w:val="18"/>
                <w:szCs w:val="18"/>
              </w:rPr>
              <w:t xml:space="preserve">30-Day Neut</w:t>
            </w:r>
          </w:p>
        </w:tc>
        <w:tc>
          <w:tcPr>
            <w:tcW w:type="dxa" w:w="900"/>
            <w:tcBorders>
              <w:top w:val="single" w:color="CCCCCC" w:sz="4"/>
              <w:left w:val="single" w:color="CCCCCC" w:sz="4"/>
              <w:bottom w:val="single" w:color="CCCCCC" w:sz="4"/>
              <w:right w:val="single" w:color="CCCCCC" w:sz="4"/>
            </w:tcBorders>
            <w:shd w:fill="8B1F1F" w:val="clear"/>
            <w:tcMar>
              <w:top w:type="dxa" w:w="60"/>
              <w:left w:type="dxa" w:w="80"/>
              <w:bottom w:type="dxa" w:w="60"/>
              <w:right w:type="dxa" w:w="80"/>
            </w:tcMar>
            <w:vAlign w:val="center"/>
          </w:tcPr>
          <w:p>
            <w:pPr>
              <w:jc w:val="center"/>
            </w:pPr>
            <w:r>
              <w:rPr>
                <w:rFonts w:ascii="Calibri" w:cs="Calibri" w:eastAsia="Calibri" w:hAnsi="Calibri"/>
                <w:b/>
                <w:bCs/>
                <w:color w:val="FFFFFF"/>
                <w:sz w:val="18"/>
                <w:szCs w:val="18"/>
              </w:rPr>
              <w:t xml:space="preserve">30-Day Bear</w:t>
            </w:r>
          </w:p>
        </w:tc>
      </w:tr>
      <w:tr>
        <w:tc>
          <w:tcPr>
            <w:tcW w:type="dxa" w:w="1560"/>
            <w:tcBorders>
              <w:top w:val="single" w:color="CCCCCC" w:sz="4"/>
              <w:left w:val="single" w:color="CCCCCC" w:sz="4"/>
              <w:bottom w:val="single" w:color="CCCCCC" w:sz="4"/>
              <w:right w:val="single" w:color="CCCCCC" w:sz="4"/>
            </w:tcBorders>
            <w:shd w:fill="F2F2F2" w:val="clear"/>
            <w:tcMar>
              <w:top w:type="dxa" w:w="60"/>
              <w:left w:type="dxa" w:w="80"/>
              <w:bottom w:type="dxa" w:w="60"/>
              <w:right w:type="dxa" w:w="80"/>
            </w:tcMar>
            <w:vAlign w:val="center"/>
          </w:tcPr>
          <w:p>
            <w:pPr>
              <w:jc w:val="center"/>
            </w:pPr>
            <w:r>
              <w:rPr>
                <w:rFonts w:ascii="Calibri" w:cs="Calibri" w:eastAsia="Calibri" w:hAnsi="Calibri"/>
                <w:b/>
                <w:bCs/>
                <w:color w:val="000000"/>
                <w:sz w:val="18"/>
                <w:szCs w:val="18"/>
              </w:rPr>
              <w:t xml:space="preserve"/>
            </w:r>
          </w:p>
        </w:tc>
        <w:tc>
          <w:tcPr>
            <w:tcW w:type="dxa" w:w="900"/>
            <w:tcBorders>
              <w:top w:val="single" w:color="CCCCCC" w:sz="4"/>
              <w:left w:val="single" w:color="CCCCCC" w:sz="4"/>
              <w:bottom w:val="single" w:color="CCCCCC" w:sz="4"/>
              <w:right w:val="single" w:color="CCCCCC" w:sz="4"/>
            </w:tcBorders>
            <w:tcMar>
              <w:top w:type="dxa" w:w="50"/>
              <w:left w:type="dxa" w:w="80"/>
              <w:bottom w:type="dxa" w:w="50"/>
              <w:right w:type="dxa" w:w="80"/>
            </w:tcMar>
          </w:tcPr>
          <w:p>
            <w:pPr>
              <w:jc w:val="center"/>
            </w:pPr>
            <w:r>
              <w:rPr>
                <w:rFonts w:ascii="Calibri" w:cs="Calibri" w:eastAsia="Calibri" w:hAnsi="Calibri"/>
                <w:color w:val="333333"/>
                <w:sz w:val="18"/>
                <w:szCs w:val="18"/>
              </w:rPr>
              <w:t xml:space="preserve">45%</w:t>
            </w:r>
          </w:p>
        </w:tc>
        <w:tc>
          <w:tcPr>
            <w:tcW w:type="dxa" w:w="900"/>
            <w:tcBorders>
              <w:top w:val="single" w:color="CCCCCC" w:sz="4"/>
              <w:left w:val="single" w:color="CCCCCC" w:sz="4"/>
              <w:bottom w:val="single" w:color="CCCCCC" w:sz="4"/>
              <w:right w:val="single" w:color="CCCCCC" w:sz="4"/>
            </w:tcBorders>
            <w:tcMar>
              <w:top w:type="dxa" w:w="50"/>
              <w:left w:type="dxa" w:w="80"/>
              <w:bottom w:type="dxa" w:w="50"/>
              <w:right w:type="dxa" w:w="80"/>
            </w:tcMar>
          </w:tcPr>
          <w:p>
            <w:pPr>
              <w:jc w:val="center"/>
            </w:pPr>
            <w:r>
              <w:rPr>
                <w:rFonts w:ascii="Calibri" w:cs="Calibri" w:eastAsia="Calibri" w:hAnsi="Calibri"/>
                <w:color w:val="333333"/>
                <w:sz w:val="18"/>
                <w:szCs w:val="18"/>
              </w:rPr>
              <w:t xml:space="preserve">18%</w:t>
            </w:r>
          </w:p>
        </w:tc>
        <w:tc>
          <w:tcPr>
            <w:tcW w:type="dxa" w:w="900"/>
            <w:tcBorders>
              <w:top w:val="single" w:color="CCCCCC" w:sz="4"/>
              <w:left w:val="single" w:color="CCCCCC" w:sz="4"/>
              <w:bottom w:val="single" w:color="CCCCCC" w:sz="4"/>
              <w:right w:val="single" w:color="CCCCCC" w:sz="4"/>
            </w:tcBorders>
            <w:tcMar>
              <w:top w:type="dxa" w:w="50"/>
              <w:left w:type="dxa" w:w="80"/>
              <w:bottom w:type="dxa" w:w="50"/>
              <w:right w:type="dxa" w:w="80"/>
            </w:tcMar>
          </w:tcPr>
          <w:p>
            <w:pPr>
              <w:jc w:val="center"/>
            </w:pPr>
            <w:r>
              <w:rPr>
                <w:rFonts w:ascii="Calibri" w:cs="Calibri" w:eastAsia="Calibri" w:hAnsi="Calibri"/>
                <w:color w:val="333333"/>
                <w:sz w:val="18"/>
                <w:szCs w:val="18"/>
              </w:rPr>
              <w:t xml:space="preserve">37%</w:t>
            </w:r>
          </w:p>
        </w:tc>
        <w:tc>
          <w:tcPr>
            <w:tcW w:type="dxa" w:w="900"/>
            <w:tcBorders>
              <w:top w:val="single" w:color="CCCCCC" w:sz="4"/>
              <w:left w:val="single" w:color="CCCCCC" w:sz="4"/>
              <w:bottom w:val="single" w:color="CCCCCC" w:sz="4"/>
              <w:right w:val="single" w:color="CCCCCC" w:sz="4"/>
            </w:tcBorders>
            <w:tcMar>
              <w:top w:type="dxa" w:w="50"/>
              <w:left w:type="dxa" w:w="80"/>
              <w:bottom w:type="dxa" w:w="50"/>
              <w:right w:type="dxa" w:w="80"/>
            </w:tcMar>
          </w:tcPr>
          <w:p>
            <w:pPr>
              <w:jc w:val="center"/>
            </w:pPr>
            <w:r>
              <w:rPr>
                <w:rFonts w:ascii="Calibri" w:cs="Calibri" w:eastAsia="Calibri" w:hAnsi="Calibri"/>
                <w:color w:val="333333"/>
                <w:sz w:val="18"/>
                <w:szCs w:val="18"/>
              </w:rPr>
              <w:t xml:space="preserve">50%</w:t>
            </w:r>
          </w:p>
        </w:tc>
        <w:tc>
          <w:tcPr>
            <w:tcW w:type="dxa" w:w="900"/>
            <w:tcBorders>
              <w:top w:val="single" w:color="CCCCCC" w:sz="4"/>
              <w:left w:val="single" w:color="CCCCCC" w:sz="4"/>
              <w:bottom w:val="single" w:color="CCCCCC" w:sz="4"/>
              <w:right w:val="single" w:color="CCCCCC" w:sz="4"/>
            </w:tcBorders>
            <w:tcMar>
              <w:top w:type="dxa" w:w="50"/>
              <w:left w:type="dxa" w:w="80"/>
              <w:bottom w:type="dxa" w:w="50"/>
              <w:right w:type="dxa" w:w="80"/>
            </w:tcMar>
          </w:tcPr>
          <w:p>
            <w:pPr>
              <w:jc w:val="center"/>
            </w:pPr>
            <w:r>
              <w:rPr>
                <w:rFonts w:ascii="Calibri" w:cs="Calibri" w:eastAsia="Calibri" w:hAnsi="Calibri"/>
                <w:color w:val="333333"/>
                <w:sz w:val="18"/>
                <w:szCs w:val="18"/>
              </w:rPr>
              <w:t xml:space="preserve">17%</w:t>
            </w:r>
          </w:p>
        </w:tc>
        <w:tc>
          <w:tcPr>
            <w:tcW w:type="dxa" w:w="900"/>
            <w:tcBorders>
              <w:top w:val="single" w:color="CCCCCC" w:sz="4"/>
              <w:left w:val="single" w:color="CCCCCC" w:sz="4"/>
              <w:bottom w:val="single" w:color="CCCCCC" w:sz="4"/>
              <w:right w:val="single" w:color="CCCCCC" w:sz="4"/>
            </w:tcBorders>
            <w:tcMar>
              <w:top w:type="dxa" w:w="50"/>
              <w:left w:type="dxa" w:w="80"/>
              <w:bottom w:type="dxa" w:w="50"/>
              <w:right w:type="dxa" w:w="80"/>
            </w:tcMar>
          </w:tcPr>
          <w:p>
            <w:pPr>
              <w:jc w:val="center"/>
            </w:pPr>
            <w:r>
              <w:rPr>
                <w:rFonts w:ascii="Calibri" w:cs="Calibri" w:eastAsia="Calibri" w:hAnsi="Calibri"/>
                <w:color w:val="333333"/>
                <w:sz w:val="18"/>
                <w:szCs w:val="18"/>
              </w:rPr>
              <w:t xml:space="preserve">33%</w:t>
            </w:r>
          </w:p>
        </w:tc>
        <w:tc>
          <w:tcPr>
            <w:tcW w:type="dxa" w:w="900"/>
            <w:tcBorders>
              <w:top w:val="single" w:color="CCCCCC" w:sz="4"/>
              <w:left w:val="single" w:color="CCCCCC" w:sz="4"/>
              <w:bottom w:val="single" w:color="CCCCCC" w:sz="4"/>
              <w:right w:val="single" w:color="CCCCCC" w:sz="4"/>
            </w:tcBorders>
            <w:tcMar>
              <w:top w:type="dxa" w:w="50"/>
              <w:left w:type="dxa" w:w="80"/>
              <w:bottom w:type="dxa" w:w="50"/>
              <w:right w:type="dxa" w:w="80"/>
            </w:tcMar>
          </w:tcPr>
          <w:p>
            <w:pPr>
              <w:jc w:val="center"/>
            </w:pPr>
            <w:r>
              <w:rPr>
                <w:rFonts w:ascii="Calibri" w:cs="Calibri" w:eastAsia="Calibri" w:hAnsi="Calibri"/>
                <w:color w:val="333333"/>
                <w:sz w:val="18"/>
                <w:szCs w:val="18"/>
              </w:rPr>
              <w:t xml:space="preserve">58%</w:t>
            </w:r>
          </w:p>
        </w:tc>
        <w:tc>
          <w:tcPr>
            <w:tcW w:type="dxa" w:w="900"/>
            <w:tcBorders>
              <w:top w:val="single" w:color="CCCCCC" w:sz="4"/>
              <w:left w:val="single" w:color="CCCCCC" w:sz="4"/>
              <w:bottom w:val="single" w:color="CCCCCC" w:sz="4"/>
              <w:right w:val="single" w:color="CCCCCC" w:sz="4"/>
            </w:tcBorders>
            <w:tcMar>
              <w:top w:type="dxa" w:w="50"/>
              <w:left w:type="dxa" w:w="80"/>
              <w:bottom w:type="dxa" w:w="50"/>
              <w:right w:type="dxa" w:w="80"/>
            </w:tcMar>
          </w:tcPr>
          <w:p>
            <w:pPr>
              <w:jc w:val="center"/>
            </w:pPr>
            <w:r>
              <w:rPr>
                <w:rFonts w:ascii="Calibri" w:cs="Calibri" w:eastAsia="Calibri" w:hAnsi="Calibri"/>
                <w:color w:val="333333"/>
                <w:sz w:val="18"/>
                <w:szCs w:val="18"/>
              </w:rPr>
              <w:t xml:space="preserve">14%</w:t>
            </w:r>
          </w:p>
        </w:tc>
        <w:tc>
          <w:tcPr>
            <w:tcW w:type="dxa" w:w="900"/>
            <w:tcBorders>
              <w:top w:val="single" w:color="CCCCCC" w:sz="4"/>
              <w:left w:val="single" w:color="CCCCCC" w:sz="4"/>
              <w:bottom w:val="single" w:color="CCCCCC" w:sz="4"/>
              <w:right w:val="single" w:color="CCCCCC" w:sz="4"/>
            </w:tcBorders>
            <w:tcMar>
              <w:top w:type="dxa" w:w="50"/>
              <w:left w:type="dxa" w:w="80"/>
              <w:bottom w:type="dxa" w:w="50"/>
              <w:right w:type="dxa" w:w="80"/>
            </w:tcMar>
          </w:tcPr>
          <w:p>
            <w:pPr>
              <w:jc w:val="center"/>
            </w:pPr>
            <w:r>
              <w:rPr>
                <w:rFonts w:ascii="Calibri" w:cs="Calibri" w:eastAsia="Calibri" w:hAnsi="Calibri"/>
                <w:color w:val="333333"/>
                <w:sz w:val="18"/>
                <w:szCs w:val="18"/>
              </w:rPr>
              <w:t xml:space="preserve">28%</w:t>
            </w:r>
          </w:p>
        </w:tc>
      </w:tr>
    </w:tbl>
    <w:p>
      <w:pPr>
        <w:spacing w:after="60" w:before="60"/>
      </w:pPr>
      <w:r>
        <w:rPr>
          <w:rFonts w:ascii="Calibri" w:cs="Calibri" w:eastAsia="Calibri" w:hAnsi="Calibri"/>
          <w:sz w:val="20"/>
          <w:szCs w:val="20"/>
        </w:rPr>
        <w:t xml:space="preserve"/>
      </w:r>
    </w:p>
    <w:p>
      <w:pPr>
        <w:spacing w:after="40" w:before="100"/>
      </w:pPr>
      <w:r>
        <w:rPr>
          <w:rFonts w:ascii="Calibri" w:cs="Calibri" w:eastAsia="Calibri" w:hAnsi="Calibri"/>
          <w:b/>
          <w:bCs/>
          <w:color w:val="C00000"/>
          <w:sz w:val="20"/>
          <w:szCs w:val="20"/>
        </w:rPr>
        <w:t xml:space="preserve">Consensus (Group Average)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900"/>
        <w:gridCol w:w="900"/>
        <w:gridCol w:w="900"/>
        <w:gridCol w:w="900"/>
        <w:gridCol w:w="900"/>
        <w:gridCol w:w="900"/>
        <w:gridCol w:w="900"/>
        <w:gridCol w:w="900"/>
        <w:gridCol w:w="900"/>
      </w:tblGrid>
      <w:tr>
        <w:tc>
          <w:tcPr>
            <w:tcW w:type="dxa" w:w="1560"/>
            <w:tcBorders>
              <w:top w:val="single" w:color="CCCCCC" w:sz="4"/>
              <w:left w:val="single" w:color="CCCCCC" w:sz="4"/>
              <w:bottom w:val="single" w:color="CCCCCC" w:sz="4"/>
              <w:right w:val="single" w:color="CCCCCC" w:sz="4"/>
            </w:tcBorders>
            <w:shd w:fill="C00000" w:val="clear"/>
            <w:tcMar>
              <w:top w:type="dxa" w:w="60"/>
              <w:left w:type="dxa" w:w="80"/>
              <w:bottom w:type="dxa" w:w="60"/>
              <w:right w:type="dxa" w:w="80"/>
            </w:tcMar>
            <w:vAlign w:val="center"/>
          </w:tcPr>
          <w:p>
            <w:pPr>
              <w:jc w:val="center"/>
            </w:pPr>
            <w:r>
              <w:rPr>
                <w:rFonts w:ascii="Calibri" w:cs="Calibri" w:eastAsia="Calibri" w:hAnsi="Calibri"/>
                <w:b/>
                <w:bCs/>
                <w:color w:val="FFFFFF"/>
                <w:sz w:val="18"/>
                <w:szCs w:val="18"/>
              </w:rPr>
              <w:t xml:space="preserve">Consensus</w:t>
            </w:r>
          </w:p>
        </w:tc>
        <w:tc>
          <w:tcPr>
            <w:tcW w:type="dxa" w:w="900"/>
            <w:tcBorders>
              <w:top w:val="single" w:color="CCCCCC" w:sz="4"/>
              <w:left w:val="single" w:color="CCCCCC" w:sz="4"/>
              <w:bottom w:val="single" w:color="CCCCCC" w:sz="4"/>
              <w:right w:val="single" w:color="CCCCCC" w:sz="4"/>
            </w:tcBorders>
            <w:shd w:fill="1F5C8B" w:val="clear"/>
            <w:tcMar>
              <w:top w:type="dxa" w:w="60"/>
              <w:left w:type="dxa" w:w="80"/>
              <w:bottom w:type="dxa" w:w="60"/>
              <w:right w:type="dxa" w:w="80"/>
            </w:tcMar>
            <w:vAlign w:val="center"/>
          </w:tcPr>
          <w:p>
            <w:pPr>
              <w:jc w:val="center"/>
            </w:pPr>
            <w:r>
              <w:rPr>
                <w:rFonts w:ascii="Calibri" w:cs="Calibri" w:eastAsia="Calibri" w:hAnsi="Calibri"/>
                <w:b/>
                <w:bCs/>
                <w:color w:val="FFFFFF"/>
                <w:sz w:val="18"/>
                <w:szCs w:val="18"/>
              </w:rPr>
              <w:t xml:space="preserve">5-Day Bull</w:t>
            </w:r>
          </w:p>
        </w:tc>
        <w:tc>
          <w:tcPr>
            <w:tcW w:type="dxa" w:w="900"/>
            <w:tcBorders>
              <w:top w:val="single" w:color="CCCCCC" w:sz="4"/>
              <w:left w:val="single" w:color="CCCCCC" w:sz="4"/>
              <w:bottom w:val="single" w:color="CCCCCC" w:sz="4"/>
              <w:right w:val="single" w:color="CCCCCC" w:sz="4"/>
            </w:tcBorders>
            <w:shd w:fill="888888" w:val="clear"/>
            <w:tcMar>
              <w:top w:type="dxa" w:w="60"/>
              <w:left w:type="dxa" w:w="80"/>
              <w:bottom w:type="dxa" w:w="60"/>
              <w:right w:type="dxa" w:w="80"/>
            </w:tcMar>
            <w:vAlign w:val="center"/>
          </w:tcPr>
          <w:p>
            <w:pPr>
              <w:jc w:val="center"/>
            </w:pPr>
            <w:r>
              <w:rPr>
                <w:rFonts w:ascii="Calibri" w:cs="Calibri" w:eastAsia="Calibri" w:hAnsi="Calibri"/>
                <w:b/>
                <w:bCs/>
                <w:color w:val="FFFFFF"/>
                <w:sz w:val="18"/>
                <w:szCs w:val="18"/>
              </w:rPr>
              <w:t xml:space="preserve">5-Day Neut</w:t>
            </w:r>
          </w:p>
        </w:tc>
        <w:tc>
          <w:tcPr>
            <w:tcW w:type="dxa" w:w="900"/>
            <w:tcBorders>
              <w:top w:val="single" w:color="CCCCCC" w:sz="4"/>
              <w:left w:val="single" w:color="CCCCCC" w:sz="4"/>
              <w:bottom w:val="single" w:color="CCCCCC" w:sz="4"/>
              <w:right w:val="single" w:color="CCCCCC" w:sz="4"/>
            </w:tcBorders>
            <w:shd w:fill="8B1F1F" w:val="clear"/>
            <w:tcMar>
              <w:top w:type="dxa" w:w="60"/>
              <w:left w:type="dxa" w:w="80"/>
              <w:bottom w:type="dxa" w:w="60"/>
              <w:right w:type="dxa" w:w="80"/>
            </w:tcMar>
            <w:vAlign w:val="center"/>
          </w:tcPr>
          <w:p>
            <w:pPr>
              <w:jc w:val="center"/>
            </w:pPr>
            <w:r>
              <w:rPr>
                <w:rFonts w:ascii="Calibri" w:cs="Calibri" w:eastAsia="Calibri" w:hAnsi="Calibri"/>
                <w:b/>
                <w:bCs/>
                <w:color w:val="FFFFFF"/>
                <w:sz w:val="18"/>
                <w:szCs w:val="18"/>
              </w:rPr>
              <w:t xml:space="preserve">5-Day Bear</w:t>
            </w:r>
          </w:p>
        </w:tc>
        <w:tc>
          <w:tcPr>
            <w:tcW w:type="dxa" w:w="900"/>
            <w:tcBorders>
              <w:top w:val="single" w:color="CCCCCC" w:sz="4"/>
              <w:left w:val="single" w:color="CCCCCC" w:sz="4"/>
              <w:bottom w:val="single" w:color="CCCCCC" w:sz="4"/>
              <w:right w:val="single" w:color="CCCCCC" w:sz="4"/>
            </w:tcBorders>
            <w:shd w:fill="1F5C8B" w:val="clear"/>
            <w:tcMar>
              <w:top w:type="dxa" w:w="60"/>
              <w:left w:type="dxa" w:w="80"/>
              <w:bottom w:type="dxa" w:w="60"/>
              <w:right w:type="dxa" w:w="80"/>
            </w:tcMar>
            <w:vAlign w:val="center"/>
          </w:tcPr>
          <w:p>
            <w:pPr>
              <w:jc w:val="center"/>
            </w:pPr>
            <w:r>
              <w:rPr>
                <w:rFonts w:ascii="Calibri" w:cs="Calibri" w:eastAsia="Calibri" w:hAnsi="Calibri"/>
                <w:b/>
                <w:bCs/>
                <w:color w:val="FFFFFF"/>
                <w:sz w:val="18"/>
                <w:szCs w:val="18"/>
              </w:rPr>
              <w:t xml:space="preserve">10-Day Bull</w:t>
            </w:r>
          </w:p>
        </w:tc>
        <w:tc>
          <w:tcPr>
            <w:tcW w:type="dxa" w:w="900"/>
            <w:tcBorders>
              <w:top w:val="single" w:color="CCCCCC" w:sz="4"/>
              <w:left w:val="single" w:color="CCCCCC" w:sz="4"/>
              <w:bottom w:val="single" w:color="CCCCCC" w:sz="4"/>
              <w:right w:val="single" w:color="CCCCCC" w:sz="4"/>
            </w:tcBorders>
            <w:shd w:fill="888888" w:val="clear"/>
            <w:tcMar>
              <w:top w:type="dxa" w:w="60"/>
              <w:left w:type="dxa" w:w="80"/>
              <w:bottom w:type="dxa" w:w="60"/>
              <w:right w:type="dxa" w:w="80"/>
            </w:tcMar>
            <w:vAlign w:val="center"/>
          </w:tcPr>
          <w:p>
            <w:pPr>
              <w:jc w:val="center"/>
            </w:pPr>
            <w:r>
              <w:rPr>
                <w:rFonts w:ascii="Calibri" w:cs="Calibri" w:eastAsia="Calibri" w:hAnsi="Calibri"/>
                <w:b/>
                <w:bCs/>
                <w:color w:val="FFFFFF"/>
                <w:sz w:val="18"/>
                <w:szCs w:val="18"/>
              </w:rPr>
              <w:t xml:space="preserve">10-Day Neut</w:t>
            </w:r>
          </w:p>
        </w:tc>
        <w:tc>
          <w:tcPr>
            <w:tcW w:type="dxa" w:w="900"/>
            <w:tcBorders>
              <w:top w:val="single" w:color="CCCCCC" w:sz="4"/>
              <w:left w:val="single" w:color="CCCCCC" w:sz="4"/>
              <w:bottom w:val="single" w:color="CCCCCC" w:sz="4"/>
              <w:right w:val="single" w:color="CCCCCC" w:sz="4"/>
            </w:tcBorders>
            <w:shd w:fill="8B1F1F" w:val="clear"/>
            <w:tcMar>
              <w:top w:type="dxa" w:w="60"/>
              <w:left w:type="dxa" w:w="80"/>
              <w:bottom w:type="dxa" w:w="60"/>
              <w:right w:type="dxa" w:w="80"/>
            </w:tcMar>
            <w:vAlign w:val="center"/>
          </w:tcPr>
          <w:p>
            <w:pPr>
              <w:jc w:val="center"/>
            </w:pPr>
            <w:r>
              <w:rPr>
                <w:rFonts w:ascii="Calibri" w:cs="Calibri" w:eastAsia="Calibri" w:hAnsi="Calibri"/>
                <w:b/>
                <w:bCs/>
                <w:color w:val="FFFFFF"/>
                <w:sz w:val="18"/>
                <w:szCs w:val="18"/>
              </w:rPr>
              <w:t xml:space="preserve">10-Day Bear</w:t>
            </w:r>
          </w:p>
        </w:tc>
        <w:tc>
          <w:tcPr>
            <w:tcW w:type="dxa" w:w="900"/>
            <w:tcBorders>
              <w:top w:val="single" w:color="CCCCCC" w:sz="4"/>
              <w:left w:val="single" w:color="CCCCCC" w:sz="4"/>
              <w:bottom w:val="single" w:color="CCCCCC" w:sz="4"/>
              <w:right w:val="single" w:color="CCCCCC" w:sz="4"/>
            </w:tcBorders>
            <w:shd w:fill="1F5C8B" w:val="clear"/>
            <w:tcMar>
              <w:top w:type="dxa" w:w="60"/>
              <w:left w:type="dxa" w:w="80"/>
              <w:bottom w:type="dxa" w:w="60"/>
              <w:right w:type="dxa" w:w="80"/>
            </w:tcMar>
            <w:vAlign w:val="center"/>
          </w:tcPr>
          <w:p>
            <w:pPr>
              <w:jc w:val="center"/>
            </w:pPr>
            <w:r>
              <w:rPr>
                <w:rFonts w:ascii="Calibri" w:cs="Calibri" w:eastAsia="Calibri" w:hAnsi="Calibri"/>
                <w:b/>
                <w:bCs/>
                <w:color w:val="FFFFFF"/>
                <w:sz w:val="18"/>
                <w:szCs w:val="18"/>
              </w:rPr>
              <w:t xml:space="preserve">30-Day Bull</w:t>
            </w:r>
          </w:p>
        </w:tc>
        <w:tc>
          <w:tcPr>
            <w:tcW w:type="dxa" w:w="900"/>
            <w:tcBorders>
              <w:top w:val="single" w:color="CCCCCC" w:sz="4"/>
              <w:left w:val="single" w:color="CCCCCC" w:sz="4"/>
              <w:bottom w:val="single" w:color="CCCCCC" w:sz="4"/>
              <w:right w:val="single" w:color="CCCCCC" w:sz="4"/>
            </w:tcBorders>
            <w:shd w:fill="888888" w:val="clear"/>
            <w:tcMar>
              <w:top w:type="dxa" w:w="60"/>
              <w:left w:type="dxa" w:w="80"/>
              <w:bottom w:type="dxa" w:w="60"/>
              <w:right w:type="dxa" w:w="80"/>
            </w:tcMar>
            <w:vAlign w:val="center"/>
          </w:tcPr>
          <w:p>
            <w:pPr>
              <w:jc w:val="center"/>
            </w:pPr>
            <w:r>
              <w:rPr>
                <w:rFonts w:ascii="Calibri" w:cs="Calibri" w:eastAsia="Calibri" w:hAnsi="Calibri"/>
                <w:b/>
                <w:bCs/>
                <w:color w:val="FFFFFF"/>
                <w:sz w:val="18"/>
                <w:szCs w:val="18"/>
              </w:rPr>
              <w:t xml:space="preserve">30-Day Neut</w:t>
            </w:r>
          </w:p>
        </w:tc>
        <w:tc>
          <w:tcPr>
            <w:tcW w:type="dxa" w:w="900"/>
            <w:tcBorders>
              <w:top w:val="single" w:color="CCCCCC" w:sz="4"/>
              <w:left w:val="single" w:color="CCCCCC" w:sz="4"/>
              <w:bottom w:val="single" w:color="CCCCCC" w:sz="4"/>
              <w:right w:val="single" w:color="CCCCCC" w:sz="4"/>
            </w:tcBorders>
            <w:shd w:fill="8B1F1F" w:val="clear"/>
            <w:tcMar>
              <w:top w:type="dxa" w:w="60"/>
              <w:left w:type="dxa" w:w="80"/>
              <w:bottom w:type="dxa" w:w="60"/>
              <w:right w:type="dxa" w:w="80"/>
            </w:tcMar>
            <w:vAlign w:val="center"/>
          </w:tcPr>
          <w:p>
            <w:pPr>
              <w:jc w:val="center"/>
            </w:pPr>
            <w:r>
              <w:rPr>
                <w:rFonts w:ascii="Calibri" w:cs="Calibri" w:eastAsia="Calibri" w:hAnsi="Calibri"/>
                <w:b/>
                <w:bCs/>
                <w:color w:val="FFFFFF"/>
                <w:sz w:val="18"/>
                <w:szCs w:val="18"/>
              </w:rPr>
              <w:t xml:space="preserve">30-Day Bear</w:t>
            </w:r>
          </w:p>
        </w:tc>
      </w:tr>
      <w:tr>
        <w:tc>
          <w:tcPr>
            <w:tcW w:type="dxa" w:w="1560"/>
            <w:tcBorders>
              <w:top w:val="single" w:color="CCCCCC" w:sz="4"/>
              <w:left w:val="single" w:color="CCCCCC" w:sz="4"/>
              <w:bottom w:val="single" w:color="CCCCCC" w:sz="4"/>
              <w:right w:val="single" w:color="CCCCCC" w:sz="4"/>
            </w:tcBorders>
            <w:shd w:fill="F2F2F2" w:val="clear"/>
            <w:tcMar>
              <w:top w:type="dxa" w:w="60"/>
              <w:left w:type="dxa" w:w="80"/>
              <w:bottom w:type="dxa" w:w="60"/>
              <w:right w:type="dxa" w:w="80"/>
            </w:tcMar>
            <w:vAlign w:val="center"/>
          </w:tcPr>
          <w:p>
            <w:pPr>
              <w:jc w:val="center"/>
            </w:pPr>
            <w:r>
              <w:rPr>
                <w:rFonts w:ascii="Calibri" w:cs="Calibri" w:eastAsia="Calibri" w:hAnsi="Calibri"/>
                <w:b/>
                <w:bCs/>
                <w:color w:val="000000"/>
                <w:sz w:val="18"/>
                <w:szCs w:val="18"/>
              </w:rPr>
              <w:t xml:space="preserve"/>
            </w:r>
          </w:p>
        </w:tc>
        <w:tc>
          <w:tcPr>
            <w:tcW w:type="dxa" w:w="900"/>
            <w:tcBorders>
              <w:top w:val="single" w:color="CCCCCC" w:sz="4"/>
              <w:left w:val="single" w:color="CCCCCC" w:sz="4"/>
              <w:bottom w:val="single" w:color="CCCCCC" w:sz="4"/>
              <w:right w:val="single" w:color="CCCCCC" w:sz="4"/>
            </w:tcBorders>
            <w:tcMar>
              <w:top w:type="dxa" w:w="50"/>
              <w:left w:type="dxa" w:w="80"/>
              <w:bottom w:type="dxa" w:w="50"/>
              <w:right w:type="dxa" w:w="80"/>
            </w:tcMar>
          </w:tcPr>
          <w:p>
            <w:pPr>
              <w:jc w:val="center"/>
            </w:pPr>
            <w:r>
              <w:rPr>
                <w:rFonts w:ascii="Calibri" w:cs="Calibri" w:eastAsia="Calibri" w:hAnsi="Calibri"/>
                <w:color w:val="333333"/>
                <w:sz w:val="18"/>
                <w:szCs w:val="18"/>
              </w:rPr>
              <w:t xml:space="preserve">40%</w:t>
            </w:r>
          </w:p>
        </w:tc>
        <w:tc>
          <w:tcPr>
            <w:tcW w:type="dxa" w:w="900"/>
            <w:tcBorders>
              <w:top w:val="single" w:color="CCCCCC" w:sz="4"/>
              <w:left w:val="single" w:color="CCCCCC" w:sz="4"/>
              <w:bottom w:val="single" w:color="CCCCCC" w:sz="4"/>
              <w:right w:val="single" w:color="CCCCCC" w:sz="4"/>
            </w:tcBorders>
            <w:tcMar>
              <w:top w:type="dxa" w:w="50"/>
              <w:left w:type="dxa" w:w="80"/>
              <w:bottom w:type="dxa" w:w="50"/>
              <w:right w:type="dxa" w:w="80"/>
            </w:tcMar>
          </w:tcPr>
          <w:p>
            <w:pPr>
              <w:jc w:val="center"/>
            </w:pPr>
            <w:r>
              <w:rPr>
                <w:rFonts w:ascii="Calibri" w:cs="Calibri" w:eastAsia="Calibri" w:hAnsi="Calibri"/>
                <w:color w:val="333333"/>
                <w:sz w:val="18"/>
                <w:szCs w:val="18"/>
              </w:rPr>
              <w:t xml:space="preserve">19%</w:t>
            </w:r>
          </w:p>
        </w:tc>
        <w:tc>
          <w:tcPr>
            <w:tcW w:type="dxa" w:w="900"/>
            <w:tcBorders>
              <w:top w:val="single" w:color="CCCCCC" w:sz="4"/>
              <w:left w:val="single" w:color="CCCCCC" w:sz="4"/>
              <w:bottom w:val="single" w:color="CCCCCC" w:sz="4"/>
              <w:right w:val="single" w:color="CCCCCC" w:sz="4"/>
            </w:tcBorders>
            <w:tcMar>
              <w:top w:type="dxa" w:w="50"/>
              <w:left w:type="dxa" w:w="80"/>
              <w:bottom w:type="dxa" w:w="50"/>
              <w:right w:type="dxa" w:w="80"/>
            </w:tcMar>
          </w:tcPr>
          <w:p>
            <w:pPr>
              <w:jc w:val="center"/>
            </w:pPr>
            <w:r>
              <w:rPr>
                <w:rFonts w:ascii="Calibri" w:cs="Calibri" w:eastAsia="Calibri" w:hAnsi="Calibri"/>
                <w:color w:val="333333"/>
                <w:sz w:val="18"/>
                <w:szCs w:val="18"/>
              </w:rPr>
              <w:t xml:space="preserve">41%</w:t>
            </w:r>
          </w:p>
        </w:tc>
        <w:tc>
          <w:tcPr>
            <w:tcW w:type="dxa" w:w="900"/>
            <w:tcBorders>
              <w:top w:val="single" w:color="CCCCCC" w:sz="4"/>
              <w:left w:val="single" w:color="CCCCCC" w:sz="4"/>
              <w:bottom w:val="single" w:color="CCCCCC" w:sz="4"/>
              <w:right w:val="single" w:color="CCCCCC" w:sz="4"/>
            </w:tcBorders>
            <w:tcMar>
              <w:top w:type="dxa" w:w="50"/>
              <w:left w:type="dxa" w:w="80"/>
              <w:bottom w:type="dxa" w:w="50"/>
              <w:right w:type="dxa" w:w="80"/>
            </w:tcMar>
          </w:tcPr>
          <w:p>
            <w:pPr>
              <w:jc w:val="center"/>
            </w:pPr>
            <w:r>
              <w:rPr>
                <w:rFonts w:ascii="Calibri" w:cs="Calibri" w:eastAsia="Calibri" w:hAnsi="Calibri"/>
                <w:color w:val="333333"/>
                <w:sz w:val="18"/>
                <w:szCs w:val="18"/>
              </w:rPr>
              <w:t xml:space="preserve">45%</w:t>
            </w:r>
          </w:p>
        </w:tc>
        <w:tc>
          <w:tcPr>
            <w:tcW w:type="dxa" w:w="900"/>
            <w:tcBorders>
              <w:top w:val="single" w:color="CCCCCC" w:sz="4"/>
              <w:left w:val="single" w:color="CCCCCC" w:sz="4"/>
              <w:bottom w:val="single" w:color="CCCCCC" w:sz="4"/>
              <w:right w:val="single" w:color="CCCCCC" w:sz="4"/>
            </w:tcBorders>
            <w:tcMar>
              <w:top w:type="dxa" w:w="50"/>
              <w:left w:type="dxa" w:w="80"/>
              <w:bottom w:type="dxa" w:w="50"/>
              <w:right w:type="dxa" w:w="80"/>
            </w:tcMar>
          </w:tcPr>
          <w:p>
            <w:pPr>
              <w:jc w:val="center"/>
            </w:pPr>
            <w:r>
              <w:rPr>
                <w:rFonts w:ascii="Calibri" w:cs="Calibri" w:eastAsia="Calibri" w:hAnsi="Calibri"/>
                <w:color w:val="333333"/>
                <w:sz w:val="18"/>
                <w:szCs w:val="18"/>
              </w:rPr>
              <w:t xml:space="preserve">18%</w:t>
            </w:r>
          </w:p>
        </w:tc>
        <w:tc>
          <w:tcPr>
            <w:tcW w:type="dxa" w:w="900"/>
            <w:tcBorders>
              <w:top w:val="single" w:color="CCCCCC" w:sz="4"/>
              <w:left w:val="single" w:color="CCCCCC" w:sz="4"/>
              <w:bottom w:val="single" w:color="CCCCCC" w:sz="4"/>
              <w:right w:val="single" w:color="CCCCCC" w:sz="4"/>
            </w:tcBorders>
            <w:tcMar>
              <w:top w:type="dxa" w:w="50"/>
              <w:left w:type="dxa" w:w="80"/>
              <w:bottom w:type="dxa" w:w="50"/>
              <w:right w:type="dxa" w:w="80"/>
            </w:tcMar>
          </w:tcPr>
          <w:p>
            <w:pPr>
              <w:jc w:val="center"/>
            </w:pPr>
            <w:r>
              <w:rPr>
                <w:rFonts w:ascii="Calibri" w:cs="Calibri" w:eastAsia="Calibri" w:hAnsi="Calibri"/>
                <w:color w:val="333333"/>
                <w:sz w:val="18"/>
                <w:szCs w:val="18"/>
              </w:rPr>
              <w:t xml:space="preserve">37%</w:t>
            </w:r>
          </w:p>
        </w:tc>
        <w:tc>
          <w:tcPr>
            <w:tcW w:type="dxa" w:w="900"/>
            <w:tcBorders>
              <w:top w:val="single" w:color="CCCCCC" w:sz="4"/>
              <w:left w:val="single" w:color="CCCCCC" w:sz="4"/>
              <w:bottom w:val="single" w:color="CCCCCC" w:sz="4"/>
              <w:right w:val="single" w:color="CCCCCC" w:sz="4"/>
            </w:tcBorders>
            <w:tcMar>
              <w:top w:type="dxa" w:w="50"/>
              <w:left w:type="dxa" w:w="80"/>
              <w:bottom w:type="dxa" w:w="50"/>
              <w:right w:type="dxa" w:w="80"/>
            </w:tcMar>
          </w:tcPr>
          <w:p>
            <w:pPr>
              <w:jc w:val="center"/>
            </w:pPr>
            <w:r>
              <w:rPr>
                <w:rFonts w:ascii="Calibri" w:cs="Calibri" w:eastAsia="Calibri" w:hAnsi="Calibri"/>
                <w:color w:val="333333"/>
                <w:sz w:val="18"/>
                <w:szCs w:val="18"/>
              </w:rPr>
              <w:t xml:space="preserve">53%</w:t>
            </w:r>
          </w:p>
        </w:tc>
        <w:tc>
          <w:tcPr>
            <w:tcW w:type="dxa" w:w="900"/>
            <w:tcBorders>
              <w:top w:val="single" w:color="CCCCCC" w:sz="4"/>
              <w:left w:val="single" w:color="CCCCCC" w:sz="4"/>
              <w:bottom w:val="single" w:color="CCCCCC" w:sz="4"/>
              <w:right w:val="single" w:color="CCCCCC" w:sz="4"/>
            </w:tcBorders>
            <w:tcMar>
              <w:top w:type="dxa" w:w="50"/>
              <w:left w:type="dxa" w:w="80"/>
              <w:bottom w:type="dxa" w:w="50"/>
              <w:right w:type="dxa" w:w="80"/>
            </w:tcMar>
          </w:tcPr>
          <w:p>
            <w:pPr>
              <w:jc w:val="center"/>
            </w:pPr>
            <w:r>
              <w:rPr>
                <w:rFonts w:ascii="Calibri" w:cs="Calibri" w:eastAsia="Calibri" w:hAnsi="Calibri"/>
                <w:color w:val="333333"/>
                <w:sz w:val="18"/>
                <w:szCs w:val="18"/>
              </w:rPr>
              <w:t xml:space="preserve">16%</w:t>
            </w:r>
          </w:p>
        </w:tc>
        <w:tc>
          <w:tcPr>
            <w:tcW w:type="dxa" w:w="900"/>
            <w:tcBorders>
              <w:top w:val="single" w:color="CCCCCC" w:sz="4"/>
              <w:left w:val="single" w:color="CCCCCC" w:sz="4"/>
              <w:bottom w:val="single" w:color="CCCCCC" w:sz="4"/>
              <w:right w:val="single" w:color="CCCCCC" w:sz="4"/>
            </w:tcBorders>
            <w:tcMar>
              <w:top w:type="dxa" w:w="50"/>
              <w:left w:type="dxa" w:w="80"/>
              <w:bottom w:type="dxa" w:w="50"/>
              <w:right w:type="dxa" w:w="80"/>
            </w:tcMar>
          </w:tcPr>
          <w:p>
            <w:pPr>
              <w:jc w:val="center"/>
            </w:pPr>
            <w:r>
              <w:rPr>
                <w:rFonts w:ascii="Calibri" w:cs="Calibri" w:eastAsia="Calibri" w:hAnsi="Calibri"/>
                <w:color w:val="333333"/>
                <w:sz w:val="18"/>
                <w:szCs w:val="18"/>
              </w:rPr>
              <w:t xml:space="preserve">32%</w:t>
            </w:r>
          </w:p>
        </w:tc>
      </w:tr>
    </w:tbl>
    <w:p>
      <w:pPr>
        <w:spacing w:after="60" w:before="60"/>
      </w:pPr>
      <w:r>
        <w:rPr>
          <w:rFonts w:ascii="Calibri" w:cs="Calibri" w:eastAsia="Calibri" w:hAnsi="Calibri"/>
          <w:sz w:val="20"/>
          <w:szCs w:val="20"/>
        </w:rPr>
        <w:t xml:space="preserve"/>
      </w:r>
    </w:p>
    <w:p>
      <w:pPr>
        <w:spacing w:after="60" w:before="60"/>
      </w:pPr>
      <w:r>
        <w:rPr>
          <w:rFonts w:ascii="Calibri" w:cs="Calibri" w:eastAsia="Calibri" w:hAnsi="Calibri"/>
          <w:color w:val="000000"/>
          <w:sz w:val="20"/>
          <w:szCs w:val="20"/>
        </w:rPr>
        <w:t xml:space="preserve">ChatGPT carries the most bullish 30-day outlook (58% bullish) reflecting higher weighting on the developing structural convergence — price above EMA(20), GSR near threshold, OI expansion — as indicators of early transition rather than noise. DeepSeek is most cautious at the 5- and 10-day horizon (35% and 40% bullish respectively), applying a larger risk discount for the possibility that the macro shock environment produces a reversal before the exit window closes. Claude sits between the two at each horizon. The divergence in probability outputs reflects a genuine difference in how much weight each system places on the building signals versus the incomplete confirmation.</w:t>
      </w:r>
    </w:p>
    <w:p>
      <w:pPr>
        <w:spacing w:after="60" w:before="60"/>
      </w:pPr>
      <w:r>
        <w:rPr>
          <w:rFonts w:ascii="Calibri" w:cs="Calibri" w:eastAsia="Calibri" w:hAnsi="Calibri"/>
          <w:sz w:val="20"/>
          <w:szCs w:val="20"/>
        </w:rPr>
        <w:t xml:space="preserve"/>
      </w:r>
    </w:p>
    <w:p>
      <w:pPr>
        <w:pBdr>
          <w:bottom w:val="single" w:color="2E74B5" w:sz="6" w:space="1"/>
        </w:pBdr>
        <w:spacing w:after="140" w:before="140"/>
      </w:pPr>
      <w:r>
        <w:rPr>
          <w:rFonts w:ascii="Calibri" w:cs="Calibri" w:eastAsia="Calibri" w:hAnsi="Calibri"/>
          <w:sz w:val="20"/>
          <w:szCs w:val="20"/>
        </w:rPr>
        <w:t xml:space="preserve"/>
      </w:r>
    </w:p>
    <w:p>
      <w:pPr>
        <w:shd w:fill="1F3864" w:val="clear"/>
        <w:spacing w:after="80" w:before="200"/>
        <w:ind w:left="120" w:right="120"/>
      </w:pPr>
      <w:r>
        <w:rPr>
          <w:rFonts w:ascii="Calibri" w:cs="Calibri" w:eastAsia="Calibri" w:hAnsi="Calibri"/>
          <w:b/>
          <w:bCs/>
          <w:color w:val="FFFFFF"/>
          <w:sz w:val="22"/>
          <w:szCs w:val="22"/>
        </w:rPr>
        <w:t xml:space="preserve">BOTTOM LINE</w:t>
      </w:r>
    </w:p>
    <w:p>
      <w:pPr>
        <w:spacing w:after="60" w:before="60"/>
      </w:pPr>
      <w:r>
        <w:rPr>
          <w:rFonts w:ascii="Calibri" w:cs="Calibri" w:eastAsia="Calibri" w:hAnsi="Calibri"/>
          <w:sz w:val="20"/>
          <w:szCs w:val="20"/>
        </w:rPr>
        <w:t xml:space="preserve"/>
      </w:r>
    </w:p>
    <w:p>
      <w:pPr>
        <w:pBdr>
          <w:bottom w:val="single" w:color="2E74B5" w:sz="4" w:space="1"/>
        </w:pBdr>
        <w:spacing w:after="60" w:before="160"/>
      </w:pPr>
      <w:r>
        <w:rPr>
          <w:rFonts w:ascii="Calibri" w:cs="Calibri" w:eastAsia="Calibri" w:hAnsi="Calibri"/>
          <w:b/>
          <w:bCs/>
          <w:color w:val="2E74B5"/>
          <w:sz w:val="22"/>
          <w:szCs w:val="22"/>
        </w:rPr>
        <w:t xml:space="preserve">What Is in Control</w:t>
      </w:r>
    </w:p>
    <w:p>
      <w:pPr>
        <w:spacing w:after="60" w:before="60"/>
      </w:pPr>
      <w:r>
        <w:rPr>
          <w:rFonts w:ascii="Calibri" w:cs="Calibri" w:eastAsia="Calibri" w:hAnsi="Calibri"/>
          <w:color w:val="000000"/>
          <w:sz w:val="20"/>
          <w:szCs w:val="20"/>
        </w:rPr>
        <w:t xml:space="preserve">Price Behavior, externally driven, under the macro shock classification active since April 8. The formal framework designation has not changed. Migration is not warranted. Price Behavior remains dominant.</w:t>
      </w:r>
    </w:p>
    <w:p>
      <w:pPr>
        <w:spacing w:after="60" w:before="60"/>
      </w:pPr>
      <w:r>
        <w:rPr>
          <w:rFonts w:ascii="Calibri" w:cs="Calibri" w:eastAsia="Calibri" w:hAnsi="Calibri"/>
          <w:sz w:val="20"/>
          <w:szCs w:val="20"/>
        </w:rPr>
        <w:t xml:space="preserve"/>
      </w:r>
    </w:p>
    <w:p>
      <w:pPr>
        <w:pBdr>
          <w:bottom w:val="single" w:color="2E74B5" w:sz="4" w:space="1"/>
        </w:pBdr>
        <w:spacing w:after="60" w:before="160"/>
      </w:pPr>
      <w:r>
        <w:rPr>
          <w:rFonts w:ascii="Calibri" w:cs="Calibri" w:eastAsia="Calibri" w:hAnsi="Calibri"/>
          <w:b/>
          <w:bCs/>
          <w:color w:val="2E74B5"/>
          <w:sz w:val="22"/>
          <w:szCs w:val="22"/>
        </w:rPr>
        <w:t xml:space="preserve">What Is Building</w:t>
      </w:r>
    </w:p>
    <w:p>
      <w:pPr>
        <w:spacing w:after="60" w:before="60"/>
      </w:pPr>
      <w:r>
        <w:rPr>
          <w:rFonts w:ascii="Calibri" w:cs="Calibri" w:eastAsia="Calibri" w:hAnsi="Calibri"/>
          <w:color w:val="000000"/>
          <w:sz w:val="20"/>
          <w:szCs w:val="20"/>
        </w:rPr>
        <w:t xml:space="preserve">A governance inflection. The GSR is one session from Disproof Condition 2 deactivation. Silver has closed above its EMA(20) for the first time in this bearish structure. The miner-silver divergence that would normally qualify as a Day 1 observation is preserved and waiting for the macro shock exit. COMEX registered leverage is at its highest in the run series. OI is expanding at its fastest pace. Each of these individually is a building signal. Together, they describe a system approaching a threshold at which maintained Price Behavior dominance with a bearish directional interpretation becomes increasingly difficult to sustain.</w:t>
      </w:r>
    </w:p>
    <w:p>
      <w:pPr>
        <w:spacing w:after="60" w:before="60"/>
      </w:pPr>
      <w:r>
        <w:rPr>
          <w:rFonts w:ascii="Calibri" w:cs="Calibri" w:eastAsia="Calibri" w:hAnsi="Calibri"/>
          <w:sz w:val="20"/>
          <w:szCs w:val="20"/>
        </w:rPr>
        <w:t xml:space="preserve"/>
      </w:r>
    </w:p>
    <w:p>
      <w:pPr>
        <w:pBdr>
          <w:bottom w:val="single" w:color="2E74B5" w:sz="4" w:space="1"/>
        </w:pBdr>
        <w:spacing w:after="60" w:before="160"/>
      </w:pPr>
      <w:r>
        <w:rPr>
          <w:rFonts w:ascii="Calibri" w:cs="Calibri" w:eastAsia="Calibri" w:hAnsi="Calibri"/>
          <w:b/>
          <w:bCs/>
          <w:color w:val="2E74B5"/>
          <w:sz w:val="22"/>
          <w:szCs w:val="22"/>
        </w:rPr>
        <w:t xml:space="preserve">What Would Change the System</w:t>
      </w:r>
    </w:p>
    <w:p>
      <w:pPr>
        <w:spacing w:after="40" w:before="40"/>
      </w:pPr>
      <w:r>
        <w:rPr>
          <w:rFonts w:ascii="Calibri" w:cs="Calibri" w:eastAsia="Calibri" w:hAnsi="Calibri"/>
          <w:b/>
          <w:bCs/>
          <w:color w:val="C00000"/>
          <w:sz w:val="20"/>
          <w:szCs w:val="20"/>
        </w:rPr>
        <w:t xml:space="preserve">Immediate (next session): </w:t>
      </w:r>
      <w:r>
        <w:rPr>
          <w:rFonts w:ascii="Calibri" w:cs="Calibri" w:eastAsia="Calibri" w:hAnsi="Calibri"/>
          <w:sz w:val="20"/>
          <w:szCs w:val="20"/>
        </w:rPr>
        <w:t xml:space="preserve">GSR close below 63.00 deactivates Disproof Condition 2. This is the most time-sensitive trigger.</w:t>
      </w:r>
    </w:p>
    <w:p>
      <w:pPr>
        <w:spacing w:after="40" w:before="40"/>
      </w:pPr>
      <w:r>
        <w:rPr>
          <w:rFonts w:ascii="Calibri" w:cs="Calibri" w:eastAsia="Calibri" w:hAnsi="Calibri"/>
          <w:b/>
          <w:bCs/>
          <w:color w:val="2E74B5"/>
          <w:sz w:val="20"/>
          <w:szCs w:val="20"/>
        </w:rPr>
        <w:t xml:space="preserve">Near-term (1–3 sessions): </w:t>
      </w:r>
      <w:r>
        <w:rPr>
          <w:rFonts w:ascii="Calibri" w:cs="Calibri" w:eastAsia="Calibri" w:hAnsi="Calibri"/>
          <w:sz w:val="20"/>
          <w:szCs w:val="20"/>
        </w:rPr>
        <w:t xml:space="preserve">Macro shock exit after Day 3 (April 10 minimum) opens formal re-evaluation of the miner-silver divergence and Day 1 eligibility for Speculative Capital layer. COMEX spread compression toward zero activates the Failure Signal. Silver closing above $79.00 deactivates Disproof Condition 1.</w:t>
      </w:r>
    </w:p>
    <w:p>
      <w:pPr>
        <w:spacing w:after="40" w:before="40"/>
      </w:pPr>
      <w:r>
        <w:rPr>
          <w:rFonts w:ascii="Calibri" w:cs="Calibri" w:eastAsia="Calibri" w:hAnsi="Calibri"/>
          <w:b/>
          <w:bCs/>
          <w:color w:val="595959"/>
          <w:sz w:val="20"/>
          <w:szCs w:val="20"/>
        </w:rPr>
        <w:t xml:space="preserve">Reversal scenario: </w:t>
      </w:r>
      <w:r>
        <w:rPr>
          <w:rFonts w:ascii="Calibri" w:cs="Calibri" w:eastAsia="Calibri" w:hAnsi="Calibri"/>
          <w:sz w:val="20"/>
          <w:szCs w:val="20"/>
        </w:rPr>
        <w:t xml:space="preserve">A new cross-asset disruption in April 10's session — significant equity decline or dollar surge — would reset the macro shock exit clock and potentially re-anchor the prior bearish structure. SHFE continuing to rebuild and LBMA holding elevated vault levels would further moderate the China Layer urgency case over the 30-day horizon.</w:t>
      </w:r>
    </w:p>
    <w:p>
      <w:pPr>
        <w:spacing w:after="60" w:before="60"/>
      </w:pPr>
      <w:r>
        <w:rPr>
          <w:rFonts w:ascii="Calibri" w:cs="Calibri" w:eastAsia="Calibri" w:hAnsi="Calibri"/>
          <w:sz w:val="20"/>
          <w:szCs w:val="20"/>
        </w:rPr>
        <w:t xml:space="preserve"/>
      </w:r>
    </w:p>
    <w:p>
      <w:pPr>
        <w:pBdr>
          <w:bottom w:val="single" w:color="2E74B5" w:sz="6" w:space="1"/>
        </w:pBdr>
        <w:spacing w:after="140" w:before="140"/>
      </w:pPr>
      <w:r>
        <w:rPr>
          <w:rFonts w:ascii="Calibri" w:cs="Calibri" w:eastAsia="Calibri" w:hAnsi="Calibri"/>
          <w:sz w:val="20"/>
          <w:szCs w:val="20"/>
        </w:rPr>
        <w:t xml:space="preserve"/>
      </w:r>
    </w:p>
    <w:p>
      <w:pPr>
        <w:spacing w:after="0" w:before="160"/>
        <w:jc w:val="center"/>
      </w:pPr>
      <w:r>
        <w:rPr>
          <w:rFonts w:ascii="Calibri" w:cs="Calibri" w:eastAsia="Calibri" w:hAnsi="Calibri"/>
          <w:i/>
          <w:iCs/>
          <w:color w:val="595959"/>
          <w:sz w:val="16"/>
          <w:szCs w:val="16"/>
        </w:rPr>
        <w:t xml:space="preserve">Silver Intelligence System 2.6  |  April 9, 2026  |  Session 18  |  For Operator Use Only</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2026-04-09T22:13:10.854Z</dcterms:created>
  <dcterms:modified xsi:type="dcterms:W3CDTF">2026-04-09T22:13:10.854Z</dcterms:modified>
</cp:coreProperties>
</file>

<file path=docProps/custom.xml><?xml version="1.0" encoding="utf-8"?>
<Properties xmlns="http://schemas.openxmlformats.org/officeDocument/2006/custom-properties" xmlns:vt="http://schemas.openxmlformats.org/officeDocument/2006/docPropsVTypes"/>
</file>