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86"/>
      </w:tblGrid>
      <w:tr w:rsidR="0081312E" w14:paraId="501269E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1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C4A3E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498A0C9B" w14:textId="77777777" w:rsidR="0081312E" w:rsidRDefault="00000000">
            <w:r>
              <w:rPr>
                <w:b/>
                <w:bCs/>
                <w:color w:val="FFFFFF"/>
                <w:sz w:val="14"/>
                <w:szCs w:val="14"/>
              </w:rPr>
              <w:t>Bee Content</w:t>
            </w:r>
          </w:p>
        </w:tc>
      </w:tr>
    </w:tbl>
    <w:p w14:paraId="6D769E35" w14:textId="77777777" w:rsidR="0081312E" w:rsidRDefault="0081312E">
      <w:pPr>
        <w:spacing w:line="120" w:lineRule="exact"/>
      </w:pPr>
    </w:p>
    <w:p w14:paraId="7AA053C8" w14:textId="77777777" w:rsidR="0081312E" w:rsidRDefault="00000000">
      <w:pPr>
        <w:spacing w:after="40"/>
      </w:pPr>
      <w:r>
        <w:rPr>
          <w:b/>
          <w:bCs/>
          <w:sz w:val="52"/>
          <w:szCs w:val="52"/>
        </w:rPr>
        <w:t>Bee Content</w:t>
      </w:r>
    </w:p>
    <w:p w14:paraId="73BB1BA9" w14:textId="77777777" w:rsidR="0081312E" w:rsidRDefault="00000000">
      <w:pPr>
        <w:spacing w:after="40"/>
      </w:pPr>
      <w:r>
        <w:rPr>
          <w:color w:val="4A4A4A"/>
          <w:sz w:val="22"/>
          <w:szCs w:val="22"/>
        </w:rPr>
        <w:t>Arts &amp; Social Impact Writing</w:t>
      </w:r>
    </w:p>
    <w:p w14:paraId="6C2113E9" w14:textId="77777777" w:rsidR="0081312E" w:rsidRDefault="00000000">
      <w:pPr>
        <w:spacing w:after="40"/>
      </w:pPr>
      <w:r>
        <w:rPr>
          <w:i/>
          <w:iCs/>
          <w:color w:val="3D6B5C"/>
          <w:sz w:val="19"/>
          <w:szCs w:val="19"/>
        </w:rPr>
        <w:t>Impact writing rooted in real stories</w:t>
      </w:r>
    </w:p>
    <w:p w14:paraId="4C05B2AD" w14:textId="77777777" w:rsidR="0081312E" w:rsidRDefault="0081312E">
      <w:pPr>
        <w:pBdr>
          <w:bottom w:val="single" w:sz="4" w:space="1" w:color="D6CCBA"/>
        </w:pBdr>
        <w:spacing w:before="60" w:after="60"/>
      </w:pPr>
    </w:p>
    <w:p w14:paraId="11A47962" w14:textId="7E9F3989" w:rsidR="0081312E" w:rsidRDefault="00000000">
      <w:pPr>
        <w:spacing w:before="60" w:after="120"/>
      </w:pPr>
      <w:r>
        <w:rPr>
          <w:color w:val="4A4A4A"/>
          <w:sz w:val="18"/>
          <w:szCs w:val="18"/>
        </w:rPr>
        <w:t>High</w:t>
      </w:r>
      <w:r w:rsidR="002705E4">
        <w:rPr>
          <w:color w:val="4A4A4A"/>
          <w:sz w:val="18"/>
          <w:szCs w:val="18"/>
        </w:rPr>
        <w:t xml:space="preserve"> </w:t>
      </w:r>
      <w:r>
        <w:rPr>
          <w:color w:val="4A4A4A"/>
          <w:sz w:val="18"/>
          <w:szCs w:val="18"/>
        </w:rPr>
        <w:t xml:space="preserve">quality, long-form writing for arts and social impact organisations. Writing that funders </w:t>
      </w:r>
      <w:r w:rsidR="002705E4">
        <w:rPr>
          <w:color w:val="4A4A4A"/>
          <w:sz w:val="18"/>
          <w:szCs w:val="18"/>
        </w:rPr>
        <w:t xml:space="preserve">pay attention to </w:t>
      </w:r>
      <w:r>
        <w:rPr>
          <w:color w:val="4A4A4A"/>
          <w:sz w:val="18"/>
          <w:szCs w:val="18"/>
        </w:rPr>
        <w:t>and audiences remember. All projects begin with a free discovery call.</w:t>
      </w:r>
    </w:p>
    <w:p w14:paraId="6DD1529B" w14:textId="77777777" w:rsidR="0081312E" w:rsidRDefault="0081312E">
      <w:pPr>
        <w:spacing w:line="100" w:lineRule="exact"/>
      </w:pPr>
    </w:p>
    <w:tbl>
      <w:tblPr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"/>
        <w:gridCol w:w="9026"/>
      </w:tblGrid>
      <w:tr w:rsidR="0081312E" w14:paraId="799642FA" w14:textId="77777777">
        <w:tc>
          <w:tcPr>
            <w:tcW w:w="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C4A3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AF262" w14:textId="77777777" w:rsidR="0081312E" w:rsidRDefault="0081312E"/>
        </w:tc>
        <w:tc>
          <w:tcPr>
            <w:tcW w:w="9026" w:type="dxa"/>
            <w:tcBorders>
              <w:top w:val="single" w:sz="4" w:space="0" w:color="D6CCBA"/>
              <w:left w:val="none" w:sz="0" w:space="0" w:color="FFFFFF"/>
              <w:bottom w:val="single" w:sz="4" w:space="0" w:color="D6CCBA"/>
              <w:right w:val="single" w:sz="4" w:space="0" w:color="D6CCBA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61146A2" w14:textId="77777777" w:rsidR="0081312E" w:rsidRDefault="00000000">
            <w:pPr>
              <w:spacing w:after="40"/>
            </w:pPr>
            <w:r>
              <w:rPr>
                <w:b/>
                <w:bCs/>
              </w:rPr>
              <w:t>Thought Leadership</w:t>
            </w:r>
            <w:r>
              <w:rPr>
                <w:color w:val="D6CCBA"/>
              </w:rPr>
              <w:t xml:space="preserve">   —   </w:t>
            </w:r>
            <w:r>
              <w:rPr>
                <w:b/>
                <w:bCs/>
                <w:color w:val="2C4A3E"/>
              </w:rPr>
              <w:t>£400 – £700 per piece</w:t>
            </w:r>
          </w:p>
          <w:p w14:paraId="1FCF9510" w14:textId="6F1E63FC" w:rsidR="0081312E" w:rsidRDefault="00000000">
            <w:r>
              <w:rPr>
                <w:color w:val="4A4A4A"/>
                <w:sz w:val="18"/>
                <w:szCs w:val="18"/>
              </w:rPr>
              <w:t xml:space="preserve">Opinion articles, positioning essays, and executive </w:t>
            </w:r>
            <w:r w:rsidR="002705E4">
              <w:rPr>
                <w:color w:val="4A4A4A"/>
                <w:sz w:val="18"/>
                <w:szCs w:val="18"/>
              </w:rPr>
              <w:t>ghost-writing</w:t>
            </w:r>
            <w:r>
              <w:rPr>
                <w:color w:val="4A4A4A"/>
                <w:sz w:val="18"/>
                <w:szCs w:val="18"/>
              </w:rPr>
              <w:t xml:space="preserve"> (800–1,500 words). Includes stakeholder research and up to two rounds of revisions.</w:t>
            </w:r>
          </w:p>
        </w:tc>
      </w:tr>
    </w:tbl>
    <w:p w14:paraId="14946B8E" w14:textId="77777777" w:rsidR="0081312E" w:rsidRDefault="0081312E">
      <w:pPr>
        <w:spacing w:line="80" w:lineRule="exact"/>
      </w:pPr>
    </w:p>
    <w:tbl>
      <w:tblPr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"/>
        <w:gridCol w:w="9026"/>
      </w:tblGrid>
      <w:tr w:rsidR="0081312E" w14:paraId="7D793510" w14:textId="77777777">
        <w:tc>
          <w:tcPr>
            <w:tcW w:w="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C4A3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EEE72" w14:textId="77777777" w:rsidR="0081312E" w:rsidRDefault="0081312E"/>
        </w:tc>
        <w:tc>
          <w:tcPr>
            <w:tcW w:w="9026" w:type="dxa"/>
            <w:tcBorders>
              <w:top w:val="single" w:sz="4" w:space="0" w:color="D6CCBA"/>
              <w:left w:val="none" w:sz="0" w:space="0" w:color="FFFFFF"/>
              <w:bottom w:val="single" w:sz="4" w:space="0" w:color="D6CCBA"/>
              <w:right w:val="single" w:sz="4" w:space="0" w:color="D6CCBA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53E4650" w14:textId="77777777" w:rsidR="0081312E" w:rsidRDefault="00000000">
            <w:pPr>
              <w:spacing w:after="40"/>
            </w:pPr>
            <w:r>
              <w:rPr>
                <w:b/>
                <w:bCs/>
              </w:rPr>
              <w:t>Impact Writing</w:t>
            </w:r>
            <w:r>
              <w:rPr>
                <w:color w:val="D6CCBA"/>
              </w:rPr>
              <w:t xml:space="preserve">   —   </w:t>
            </w:r>
            <w:r>
              <w:rPr>
                <w:b/>
                <w:bCs/>
                <w:color w:val="2C4A3E"/>
              </w:rPr>
              <w:t>£350 – £600 per piece</w:t>
            </w:r>
          </w:p>
          <w:p w14:paraId="111C15B3" w14:textId="6BF1848D" w:rsidR="0081312E" w:rsidRDefault="00000000">
            <w:r>
              <w:rPr>
                <w:color w:val="4A4A4A"/>
                <w:sz w:val="18"/>
                <w:szCs w:val="18"/>
              </w:rPr>
              <w:t xml:space="preserve">In-depth case studies (800–1,200 words) and outcomes-focused narratives </w:t>
            </w:r>
            <w:r w:rsidR="002705E4">
              <w:rPr>
                <w:color w:val="4A4A4A"/>
                <w:sz w:val="18"/>
                <w:szCs w:val="18"/>
              </w:rPr>
              <w:t>with</w:t>
            </w:r>
            <w:r>
              <w:rPr>
                <w:color w:val="4A4A4A"/>
                <w:sz w:val="18"/>
                <w:szCs w:val="18"/>
              </w:rPr>
              <w:t xml:space="preserve"> funders </w:t>
            </w:r>
            <w:r w:rsidR="002705E4">
              <w:rPr>
                <w:color w:val="4A4A4A"/>
                <w:sz w:val="18"/>
                <w:szCs w:val="18"/>
              </w:rPr>
              <w:t>in mind</w:t>
            </w:r>
            <w:r>
              <w:rPr>
                <w:color w:val="4A4A4A"/>
                <w:sz w:val="18"/>
                <w:szCs w:val="18"/>
              </w:rPr>
              <w:t>. Includes one stakeholder interview.</w:t>
            </w:r>
          </w:p>
        </w:tc>
      </w:tr>
    </w:tbl>
    <w:p w14:paraId="2DF59A21" w14:textId="77777777" w:rsidR="0081312E" w:rsidRDefault="0081312E">
      <w:pPr>
        <w:spacing w:line="80" w:lineRule="exact"/>
      </w:pPr>
    </w:p>
    <w:tbl>
      <w:tblPr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"/>
        <w:gridCol w:w="9026"/>
      </w:tblGrid>
      <w:tr w:rsidR="0081312E" w14:paraId="4DCFE1B3" w14:textId="77777777">
        <w:tc>
          <w:tcPr>
            <w:tcW w:w="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C4A3E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6AC72" w14:textId="77777777" w:rsidR="0081312E" w:rsidRDefault="0081312E"/>
        </w:tc>
        <w:tc>
          <w:tcPr>
            <w:tcW w:w="9026" w:type="dxa"/>
            <w:tcBorders>
              <w:top w:val="single" w:sz="4" w:space="0" w:color="D6CCBA"/>
              <w:left w:val="none" w:sz="0" w:space="0" w:color="FFFFFF"/>
              <w:bottom w:val="single" w:sz="4" w:space="0" w:color="D6CCBA"/>
              <w:right w:val="single" w:sz="4" w:space="0" w:color="D6CCBA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0B25DB0" w14:textId="77777777" w:rsidR="0081312E" w:rsidRDefault="00000000">
            <w:pPr>
              <w:spacing w:after="40"/>
            </w:pPr>
            <w:r>
              <w:rPr>
                <w:b/>
                <w:bCs/>
              </w:rPr>
              <w:t>Feature Articles &amp; Interview Profiles</w:t>
            </w:r>
            <w:r>
              <w:rPr>
                <w:color w:val="D6CCBA"/>
              </w:rPr>
              <w:t xml:space="preserve">   —   </w:t>
            </w:r>
            <w:r>
              <w:rPr>
                <w:b/>
                <w:bCs/>
                <w:color w:val="2C4A3E"/>
              </w:rPr>
              <w:t>£300 – £500 per piece</w:t>
            </w:r>
          </w:p>
          <w:p w14:paraId="35C125B2" w14:textId="64701C5B" w:rsidR="0081312E" w:rsidRDefault="00000000">
            <w:r>
              <w:rPr>
                <w:color w:val="4A4A4A"/>
                <w:sz w:val="18"/>
                <w:szCs w:val="18"/>
              </w:rPr>
              <w:t>Journalistic interview features (600–1,000 words) capturing voices driving real change. Suitable for websites, annual reports, and donor communications.</w:t>
            </w:r>
            <w:r w:rsidR="002705E4">
              <w:rPr>
                <w:color w:val="4A4A4A"/>
                <w:sz w:val="18"/>
                <w:szCs w:val="18"/>
              </w:rPr>
              <w:t xml:space="preserve"> </w:t>
            </w:r>
            <w:r w:rsidR="002705E4">
              <w:rPr>
                <w:color w:val="4A4A4A"/>
                <w:sz w:val="18"/>
                <w:szCs w:val="18"/>
              </w:rPr>
              <w:t>Includes one stakeholder interview.</w:t>
            </w:r>
          </w:p>
        </w:tc>
      </w:tr>
    </w:tbl>
    <w:p w14:paraId="3B12672B" w14:textId="77777777" w:rsidR="0081312E" w:rsidRDefault="0081312E">
      <w:pPr>
        <w:spacing w:line="160" w:lineRule="exact"/>
      </w:pPr>
    </w:p>
    <w:p w14:paraId="72F5EC22" w14:textId="77777777" w:rsidR="002705E4" w:rsidRDefault="002705E4">
      <w:pPr>
        <w:spacing w:after="80"/>
        <w:rPr>
          <w:b/>
          <w:bCs/>
          <w:sz w:val="22"/>
          <w:szCs w:val="22"/>
        </w:rPr>
      </w:pPr>
    </w:p>
    <w:p w14:paraId="4C0CBFFA" w14:textId="32C1DC01" w:rsidR="0081312E" w:rsidRDefault="00000000">
      <w:pPr>
        <w:spacing w:after="80"/>
        <w:rPr>
          <w:b/>
          <w:bCs/>
          <w:color w:val="2C4A3E"/>
        </w:rPr>
      </w:pPr>
      <w:r>
        <w:rPr>
          <w:b/>
          <w:bCs/>
          <w:sz w:val="22"/>
          <w:szCs w:val="22"/>
        </w:rPr>
        <w:t xml:space="preserve">Monthly Retainer </w:t>
      </w:r>
      <w:r>
        <w:rPr>
          <w:color w:val="4A4A4A"/>
          <w:sz w:val="22"/>
          <w:szCs w:val="22"/>
        </w:rPr>
        <w:t xml:space="preserve">— Thought Leadership </w:t>
      </w:r>
      <w:r w:rsidR="002705E4">
        <w:rPr>
          <w:color w:val="4A4A4A"/>
          <w:sz w:val="22"/>
          <w:szCs w:val="22"/>
        </w:rPr>
        <w:t xml:space="preserve">/ </w:t>
      </w:r>
      <w:r>
        <w:rPr>
          <w:color w:val="4A4A4A"/>
          <w:sz w:val="22"/>
          <w:szCs w:val="22"/>
        </w:rPr>
        <w:t>Blog</w:t>
      </w:r>
      <w:r w:rsidR="002705E4">
        <w:rPr>
          <w:color w:val="4A4A4A"/>
          <w:sz w:val="22"/>
          <w:szCs w:val="22"/>
        </w:rPr>
        <w:t xml:space="preserve"> writing</w:t>
      </w:r>
      <w:r>
        <w:rPr>
          <w:b/>
          <w:bCs/>
          <w:color w:val="2C4A3E"/>
        </w:rPr>
        <w:t xml:space="preserve">    from £600 / month</w:t>
      </w:r>
    </w:p>
    <w:p w14:paraId="459BEAD1" w14:textId="77777777" w:rsidR="002705E4" w:rsidRDefault="002705E4">
      <w:pPr>
        <w:spacing w:after="80"/>
      </w:pPr>
    </w:p>
    <w:tbl>
      <w:tblPr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2"/>
        <w:gridCol w:w="3062"/>
        <w:gridCol w:w="3062"/>
      </w:tblGrid>
      <w:tr w:rsidR="0081312E" w14:paraId="37A996E6" w14:textId="77777777">
        <w:tblPrEx>
          <w:tblCellMar>
            <w:top w:w="0" w:type="dxa"/>
            <w:bottom w:w="0" w:type="dxa"/>
          </w:tblCellMar>
        </w:tblPrEx>
        <w:tc>
          <w:tcPr>
            <w:tcW w:w="302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C4A3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2DAE1E" w14:textId="77777777" w:rsidR="0081312E" w:rsidRDefault="00000000">
            <w:pPr>
              <w:jc w:val="center"/>
            </w:pPr>
            <w:r>
              <w:rPr>
                <w:b/>
                <w:bCs/>
                <w:color w:val="FFFFFF"/>
              </w:rPr>
              <w:t>Essential</w:t>
            </w:r>
          </w:p>
        </w:tc>
        <w:tc>
          <w:tcPr>
            <w:tcW w:w="302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C4A3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7D75A4" w14:textId="77777777" w:rsidR="0081312E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Standard</w:t>
            </w:r>
          </w:p>
        </w:tc>
        <w:tc>
          <w:tcPr>
            <w:tcW w:w="302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C4A3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16C5A8" w14:textId="77777777" w:rsidR="0081312E" w:rsidRDefault="00000000">
            <w:pPr>
              <w:jc w:val="center"/>
            </w:pPr>
            <w:r>
              <w:rPr>
                <w:b/>
                <w:bCs/>
                <w:color w:val="FFFFFF"/>
              </w:rPr>
              <w:t>Premium</w:t>
            </w:r>
          </w:p>
        </w:tc>
      </w:tr>
      <w:tr w:rsidR="0081312E" w14:paraId="222002F0" w14:textId="77777777">
        <w:tblPrEx>
          <w:tblCellMar>
            <w:top w:w="0" w:type="dxa"/>
            <w:bottom w:w="0" w:type="dxa"/>
          </w:tblCellMar>
        </w:tblPrEx>
        <w:tc>
          <w:tcPr>
            <w:tcW w:w="3022" w:type="dxa"/>
            <w:tcBorders>
              <w:top w:val="single" w:sz="4" w:space="0" w:color="D6CCBA"/>
              <w:left w:val="single" w:sz="4" w:space="0" w:color="D6CCBA"/>
              <w:bottom w:val="single" w:sz="4" w:space="0" w:color="D6CCBA"/>
              <w:right w:val="single" w:sz="4" w:space="0" w:color="D6CCBA"/>
            </w:tcBorders>
            <w:shd w:val="clear" w:color="auto" w:fill="FFFFFF"/>
            <w:tcMar>
              <w:top w:w="0" w:type="dxa"/>
              <w:left w:w="120" w:type="dxa"/>
              <w:bottom w:w="80" w:type="dxa"/>
              <w:right w:w="120" w:type="dxa"/>
            </w:tcMar>
          </w:tcPr>
          <w:p w14:paraId="000EB95E" w14:textId="77777777" w:rsidR="0081312E" w:rsidRDefault="00000000">
            <w:pPr>
              <w:spacing w:before="100" w:after="60"/>
              <w:jc w:val="center"/>
            </w:pPr>
            <w:r>
              <w:rPr>
                <w:b/>
                <w:bCs/>
                <w:color w:val="FFFFFF"/>
              </w:rPr>
              <w:t>Essential</w:t>
            </w:r>
          </w:p>
          <w:p w14:paraId="4FEA0D62" w14:textId="77777777" w:rsidR="0081312E" w:rsidRDefault="00000000">
            <w:pPr>
              <w:spacing w:after="100"/>
              <w:jc w:val="center"/>
            </w:pPr>
            <w:r>
              <w:rPr>
                <w:b/>
                <w:bCs/>
              </w:rPr>
              <w:t>£600 / month</w:t>
            </w:r>
          </w:p>
          <w:p w14:paraId="61105852" w14:textId="77777777" w:rsidR="0081312E" w:rsidRDefault="00000000" w:rsidP="002705E4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color w:val="4A4A4A"/>
                <w:sz w:val="17"/>
                <w:szCs w:val="17"/>
              </w:rPr>
              <w:t>2 x blog posts (700–900 words each)</w:t>
            </w:r>
          </w:p>
          <w:p w14:paraId="4B192299" w14:textId="77777777" w:rsidR="0081312E" w:rsidRDefault="00000000" w:rsidP="002705E4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color w:val="4A4A4A"/>
                <w:sz w:val="17"/>
                <w:szCs w:val="17"/>
              </w:rPr>
              <w:t>2 x LinkedIn adaptations (150–300 words each)</w:t>
            </w:r>
          </w:p>
          <w:p w14:paraId="6AE5B298" w14:textId="77777777" w:rsidR="002705E4" w:rsidRPr="002705E4" w:rsidRDefault="002705E4" w:rsidP="002705E4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color w:val="4A4A4A"/>
                <w:sz w:val="17"/>
                <w:szCs w:val="17"/>
              </w:rPr>
              <w:t>Monthly founder/exec strategy call /content strategy session</w:t>
            </w:r>
          </w:p>
          <w:p w14:paraId="566F305C" w14:textId="3A796050" w:rsidR="002705E4" w:rsidRDefault="002705E4" w:rsidP="002705E4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color w:val="4A4A4A"/>
                <w:sz w:val="17"/>
                <w:szCs w:val="17"/>
              </w:rPr>
              <w:t>Topic &amp; angle planning doc</w:t>
            </w:r>
          </w:p>
          <w:p w14:paraId="27A4931E" w14:textId="77777777" w:rsidR="0081312E" w:rsidRDefault="00000000">
            <w:pPr>
              <w:spacing w:before="80" w:after="60"/>
            </w:pPr>
            <w:r>
              <w:rPr>
                <w:i/>
                <w:iCs/>
                <w:color w:val="4A4A4A"/>
                <w:sz w:val="16"/>
                <w:szCs w:val="16"/>
              </w:rPr>
              <w:t>For orgs beginning to build a thought leadership presence.</w:t>
            </w:r>
          </w:p>
        </w:tc>
        <w:tc>
          <w:tcPr>
            <w:tcW w:w="3022" w:type="dxa"/>
            <w:tcBorders>
              <w:top w:val="single" w:sz="4" w:space="0" w:color="D6CCBA"/>
              <w:left w:val="single" w:sz="4" w:space="0" w:color="D6CCBA"/>
              <w:bottom w:val="single" w:sz="4" w:space="0" w:color="D6CCBA"/>
              <w:right w:val="single" w:sz="4" w:space="0" w:color="D6CCBA"/>
            </w:tcBorders>
            <w:shd w:val="clear" w:color="auto" w:fill="FFFFFF"/>
            <w:tcMar>
              <w:top w:w="0" w:type="dxa"/>
              <w:left w:w="120" w:type="dxa"/>
              <w:bottom w:w="80" w:type="dxa"/>
              <w:right w:w="120" w:type="dxa"/>
            </w:tcMar>
          </w:tcPr>
          <w:p w14:paraId="6FACB099" w14:textId="77777777" w:rsidR="0081312E" w:rsidRDefault="00000000">
            <w:pPr>
              <w:spacing w:before="100" w:after="60"/>
              <w:jc w:val="center"/>
            </w:pPr>
            <w:r>
              <w:rPr>
                <w:b/>
                <w:bCs/>
                <w:color w:val="FFFFFF"/>
              </w:rPr>
              <w:t>Standard</w:t>
            </w:r>
          </w:p>
          <w:p w14:paraId="4EFFE175" w14:textId="77777777" w:rsidR="0081312E" w:rsidRDefault="00000000">
            <w:pPr>
              <w:spacing w:after="100"/>
              <w:jc w:val="center"/>
            </w:pPr>
            <w:r>
              <w:rPr>
                <w:b/>
                <w:bCs/>
              </w:rPr>
              <w:t>£900 / month</w:t>
            </w:r>
          </w:p>
          <w:p w14:paraId="4979135B" w14:textId="77777777" w:rsidR="0081312E" w:rsidRDefault="00000000" w:rsidP="002705E4">
            <w:pPr>
              <w:pStyle w:val="ListParagraph"/>
              <w:numPr>
                <w:ilvl w:val="0"/>
                <w:numId w:val="4"/>
              </w:numPr>
              <w:spacing w:before="20" w:after="20"/>
            </w:pPr>
            <w:r>
              <w:rPr>
                <w:color w:val="4A4A4A"/>
                <w:sz w:val="17"/>
                <w:szCs w:val="17"/>
              </w:rPr>
              <w:t>4 x blog posts (700–900 words each)</w:t>
            </w:r>
          </w:p>
          <w:p w14:paraId="44E85955" w14:textId="77777777" w:rsidR="0081312E" w:rsidRDefault="00000000" w:rsidP="002705E4">
            <w:pPr>
              <w:pStyle w:val="ListParagraph"/>
              <w:numPr>
                <w:ilvl w:val="0"/>
                <w:numId w:val="4"/>
              </w:numPr>
              <w:spacing w:before="20" w:after="20"/>
            </w:pPr>
            <w:r>
              <w:rPr>
                <w:color w:val="4A4A4A"/>
                <w:sz w:val="17"/>
                <w:szCs w:val="17"/>
              </w:rPr>
              <w:t>4 x LinkedIn adaptations (150–300 words each)</w:t>
            </w:r>
          </w:p>
          <w:p w14:paraId="66C7BDCB" w14:textId="77777777" w:rsidR="002705E4" w:rsidRPr="002705E4" w:rsidRDefault="00000000" w:rsidP="002705E4">
            <w:pPr>
              <w:pStyle w:val="ListParagraph"/>
              <w:numPr>
                <w:ilvl w:val="0"/>
                <w:numId w:val="4"/>
              </w:numPr>
              <w:spacing w:before="20" w:after="20"/>
            </w:pPr>
            <w:r>
              <w:rPr>
                <w:color w:val="4A4A4A"/>
                <w:sz w:val="17"/>
                <w:szCs w:val="17"/>
              </w:rPr>
              <w:t>Monthly founder/exec strategy call</w:t>
            </w:r>
            <w:r w:rsidR="002705E4">
              <w:rPr>
                <w:color w:val="4A4A4A"/>
                <w:sz w:val="17"/>
                <w:szCs w:val="17"/>
              </w:rPr>
              <w:t xml:space="preserve"> /</w:t>
            </w:r>
            <w:r w:rsidR="002705E4">
              <w:rPr>
                <w:color w:val="4A4A4A"/>
                <w:sz w:val="17"/>
                <w:szCs w:val="17"/>
              </w:rPr>
              <w:t>content strategy session</w:t>
            </w:r>
          </w:p>
          <w:p w14:paraId="2FCE7ABB" w14:textId="622788C2" w:rsidR="002705E4" w:rsidRDefault="002705E4" w:rsidP="002705E4">
            <w:pPr>
              <w:pStyle w:val="ListParagraph"/>
              <w:numPr>
                <w:ilvl w:val="0"/>
                <w:numId w:val="4"/>
              </w:numPr>
              <w:spacing w:before="20" w:after="20"/>
            </w:pPr>
            <w:r>
              <w:rPr>
                <w:color w:val="4A4A4A"/>
                <w:sz w:val="17"/>
                <w:szCs w:val="17"/>
              </w:rPr>
              <w:t>Topic &amp; angle planning doc</w:t>
            </w:r>
          </w:p>
          <w:p w14:paraId="0A4CB282" w14:textId="77777777" w:rsidR="0081312E" w:rsidRDefault="00000000">
            <w:pPr>
              <w:spacing w:before="80" w:after="60"/>
            </w:pPr>
            <w:r>
              <w:rPr>
                <w:i/>
                <w:iCs/>
                <w:color w:val="4A4A4A"/>
                <w:sz w:val="16"/>
                <w:szCs w:val="16"/>
              </w:rPr>
              <w:t>For orgs publishing consistently and building audience trust.</w:t>
            </w:r>
          </w:p>
        </w:tc>
        <w:tc>
          <w:tcPr>
            <w:tcW w:w="3022" w:type="dxa"/>
            <w:tcBorders>
              <w:top w:val="single" w:sz="4" w:space="0" w:color="D6CCBA"/>
              <w:left w:val="single" w:sz="4" w:space="0" w:color="D6CCBA"/>
              <w:bottom w:val="single" w:sz="4" w:space="0" w:color="D6CCBA"/>
              <w:right w:val="single" w:sz="4" w:space="0" w:color="D6CCBA"/>
            </w:tcBorders>
            <w:shd w:val="clear" w:color="auto" w:fill="FFFFFF"/>
            <w:tcMar>
              <w:top w:w="0" w:type="dxa"/>
              <w:left w:w="120" w:type="dxa"/>
              <w:bottom w:w="80" w:type="dxa"/>
              <w:right w:w="120" w:type="dxa"/>
            </w:tcMar>
          </w:tcPr>
          <w:p w14:paraId="3B68C872" w14:textId="77777777" w:rsidR="0081312E" w:rsidRDefault="00000000">
            <w:pPr>
              <w:spacing w:before="100" w:after="60"/>
              <w:jc w:val="center"/>
            </w:pPr>
            <w:r>
              <w:rPr>
                <w:b/>
                <w:bCs/>
                <w:color w:val="FFFFFF"/>
              </w:rPr>
              <w:t>Premium</w:t>
            </w:r>
          </w:p>
          <w:p w14:paraId="3DDE7F20" w14:textId="77777777" w:rsidR="0081312E" w:rsidRDefault="00000000">
            <w:pPr>
              <w:spacing w:after="100"/>
              <w:jc w:val="center"/>
            </w:pPr>
            <w:r>
              <w:rPr>
                <w:b/>
                <w:bCs/>
              </w:rPr>
              <w:t>£1,200 / month</w:t>
            </w:r>
          </w:p>
          <w:p w14:paraId="1BBFD3EE" w14:textId="77777777" w:rsidR="0081312E" w:rsidRDefault="00000000">
            <w:pPr>
              <w:pStyle w:val="ListParagraph"/>
              <w:numPr>
                <w:ilvl w:val="0"/>
                <w:numId w:val="4"/>
              </w:numPr>
              <w:spacing w:before="20" w:after="20"/>
            </w:pPr>
            <w:r>
              <w:rPr>
                <w:color w:val="4A4A4A"/>
                <w:sz w:val="17"/>
                <w:szCs w:val="17"/>
              </w:rPr>
              <w:t>6 x blog posts (700–900 words each)</w:t>
            </w:r>
          </w:p>
          <w:p w14:paraId="29321B1E" w14:textId="77777777" w:rsidR="0081312E" w:rsidRDefault="00000000">
            <w:pPr>
              <w:pStyle w:val="ListParagraph"/>
              <w:numPr>
                <w:ilvl w:val="0"/>
                <w:numId w:val="4"/>
              </w:numPr>
              <w:spacing w:before="20" w:after="20"/>
            </w:pPr>
            <w:r>
              <w:rPr>
                <w:color w:val="4A4A4A"/>
                <w:sz w:val="17"/>
                <w:szCs w:val="17"/>
              </w:rPr>
              <w:t>6 x LinkedIn adaptations (150–300 words each)</w:t>
            </w:r>
          </w:p>
          <w:p w14:paraId="228BDE8E" w14:textId="77777777" w:rsidR="002705E4" w:rsidRDefault="002705E4" w:rsidP="002705E4">
            <w:pPr>
              <w:pStyle w:val="ListParagraph"/>
              <w:numPr>
                <w:ilvl w:val="0"/>
                <w:numId w:val="4"/>
              </w:numPr>
              <w:spacing w:before="20" w:after="20"/>
            </w:pPr>
            <w:r>
              <w:rPr>
                <w:color w:val="4A4A4A"/>
                <w:sz w:val="17"/>
                <w:szCs w:val="17"/>
              </w:rPr>
              <w:t>Monthly founder/exec strategy call /content strategy session</w:t>
            </w:r>
          </w:p>
          <w:p w14:paraId="7C3A0CF2" w14:textId="77777777" w:rsidR="0081312E" w:rsidRDefault="00000000">
            <w:pPr>
              <w:pStyle w:val="ListParagraph"/>
              <w:numPr>
                <w:ilvl w:val="0"/>
                <w:numId w:val="4"/>
              </w:numPr>
              <w:spacing w:before="20" w:after="20"/>
            </w:pPr>
            <w:r>
              <w:rPr>
                <w:color w:val="4A4A4A"/>
                <w:sz w:val="17"/>
                <w:szCs w:val="17"/>
              </w:rPr>
              <w:t>Topic &amp; angle planning doc</w:t>
            </w:r>
          </w:p>
          <w:p w14:paraId="5A0F904F" w14:textId="77777777" w:rsidR="0081312E" w:rsidRDefault="00000000">
            <w:pPr>
              <w:spacing w:before="80" w:after="60"/>
            </w:pPr>
            <w:r>
              <w:rPr>
                <w:i/>
                <w:iCs/>
                <w:color w:val="4A4A4A"/>
                <w:sz w:val="16"/>
                <w:szCs w:val="16"/>
              </w:rPr>
              <w:t>Full thought leadership engine for high-output organisations.</w:t>
            </w:r>
          </w:p>
        </w:tc>
      </w:tr>
    </w:tbl>
    <w:p w14:paraId="411D7BAB" w14:textId="77777777" w:rsidR="0081312E" w:rsidRDefault="0081312E">
      <w:pPr>
        <w:spacing w:line="160" w:lineRule="exact"/>
      </w:pPr>
    </w:p>
    <w:p w14:paraId="231E17BB" w14:textId="77777777" w:rsidR="0081312E" w:rsidRDefault="0081312E">
      <w:pPr>
        <w:pBdr>
          <w:bottom w:val="single" w:sz="4" w:space="1" w:color="D6CCBA"/>
        </w:pBdr>
        <w:spacing w:before="60" w:after="60"/>
      </w:pPr>
    </w:p>
    <w:p w14:paraId="548114C8" w14:textId="77777777" w:rsidR="0081312E" w:rsidRDefault="00000000">
      <w:pPr>
        <w:spacing w:before="80" w:after="60"/>
      </w:pPr>
      <w:r>
        <w:rPr>
          <w:b/>
          <w:bCs/>
        </w:rPr>
        <w:t>Every project includes:</w:t>
      </w:r>
    </w:p>
    <w:p w14:paraId="7707312B" w14:textId="77777777" w:rsidR="0081312E" w:rsidRDefault="00000000">
      <w:pPr>
        <w:pStyle w:val="ListParagraph"/>
        <w:numPr>
          <w:ilvl w:val="0"/>
          <w:numId w:val="5"/>
        </w:numPr>
        <w:spacing w:before="30" w:after="30"/>
      </w:pPr>
      <w:r>
        <w:rPr>
          <w:color w:val="4A4A4A"/>
          <w:sz w:val="18"/>
          <w:szCs w:val="18"/>
        </w:rPr>
        <w:t>Discovery call to understand your aims, audience, and voice</w:t>
      </w:r>
    </w:p>
    <w:p w14:paraId="69F629C4" w14:textId="77777777" w:rsidR="0081312E" w:rsidRDefault="00000000">
      <w:pPr>
        <w:pStyle w:val="ListParagraph"/>
        <w:numPr>
          <w:ilvl w:val="0"/>
          <w:numId w:val="5"/>
        </w:numPr>
        <w:spacing w:before="30" w:after="30"/>
      </w:pPr>
      <w:r>
        <w:rPr>
          <w:color w:val="4A4A4A"/>
          <w:sz w:val="18"/>
          <w:szCs w:val="18"/>
        </w:rPr>
        <w:t>Clear brief and timeline agreed before work begins</w:t>
      </w:r>
    </w:p>
    <w:p w14:paraId="23AD3AD1" w14:textId="77777777" w:rsidR="0081312E" w:rsidRDefault="00000000">
      <w:pPr>
        <w:pStyle w:val="ListParagraph"/>
        <w:numPr>
          <w:ilvl w:val="0"/>
          <w:numId w:val="5"/>
        </w:numPr>
        <w:spacing w:before="30" w:after="30"/>
      </w:pPr>
      <w:r>
        <w:rPr>
          <w:color w:val="4A4A4A"/>
          <w:sz w:val="18"/>
          <w:szCs w:val="18"/>
        </w:rPr>
        <w:t>Two rounds of revisions as standard</w:t>
      </w:r>
    </w:p>
    <w:p w14:paraId="47B62C02" w14:textId="77777777" w:rsidR="0081312E" w:rsidRDefault="00000000">
      <w:pPr>
        <w:pStyle w:val="ListParagraph"/>
        <w:numPr>
          <w:ilvl w:val="0"/>
          <w:numId w:val="5"/>
        </w:numPr>
        <w:spacing w:before="30" w:after="30"/>
      </w:pPr>
      <w:r>
        <w:rPr>
          <w:color w:val="4A4A4A"/>
          <w:sz w:val="18"/>
          <w:szCs w:val="18"/>
        </w:rPr>
        <w:t>Final copy delivered in your preferred format</w:t>
      </w:r>
    </w:p>
    <w:p w14:paraId="32C31887" w14:textId="77777777" w:rsidR="0081312E" w:rsidRDefault="0081312E">
      <w:pPr>
        <w:pBdr>
          <w:bottom w:val="single" w:sz="4" w:space="1" w:color="D6CCBA"/>
        </w:pBdr>
        <w:spacing w:before="60" w:after="60"/>
      </w:pPr>
    </w:p>
    <w:tbl>
      <w:tblPr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3"/>
        <w:gridCol w:w="4593"/>
      </w:tblGrid>
      <w:tr w:rsidR="0081312E" w14:paraId="1525A7F8" w14:textId="77777777">
        <w:tblPrEx>
          <w:tblCellMar>
            <w:top w:w="0" w:type="dxa"/>
            <w:bottom w:w="0" w:type="dxa"/>
          </w:tblCellMar>
        </w:tblPrEx>
        <w:tc>
          <w:tcPr>
            <w:tcW w:w="459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0190B7AE" w14:textId="77777777" w:rsidR="0081312E" w:rsidRDefault="00000000">
            <w:pPr>
              <w:spacing w:after="30"/>
            </w:pPr>
            <w:r>
              <w:rPr>
                <w:color w:val="4A4A4A"/>
                <w:sz w:val="17"/>
                <w:szCs w:val="17"/>
              </w:rPr>
              <w:t>hollymbassett@gmail.com</w:t>
            </w:r>
          </w:p>
          <w:p w14:paraId="27E35060" w14:textId="77777777" w:rsidR="0081312E" w:rsidRDefault="00000000">
            <w:r>
              <w:rPr>
                <w:color w:val="4A4A4A"/>
                <w:sz w:val="17"/>
                <w:szCs w:val="17"/>
              </w:rPr>
              <w:t>+44 7784 030299</w:t>
            </w:r>
          </w:p>
        </w:tc>
        <w:tc>
          <w:tcPr>
            <w:tcW w:w="459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568F3543" w14:textId="77777777" w:rsidR="0081312E" w:rsidRDefault="00000000">
            <w:pPr>
              <w:spacing w:after="30"/>
              <w:jc w:val="right"/>
            </w:pPr>
            <w:r>
              <w:rPr>
                <w:b/>
                <w:bCs/>
                <w:color w:val="2C4A3E"/>
                <w:sz w:val="17"/>
                <w:szCs w:val="17"/>
              </w:rPr>
              <w:t>beecontent.uk</w:t>
            </w:r>
          </w:p>
          <w:p w14:paraId="4EFB2E22" w14:textId="77777777" w:rsidR="0081312E" w:rsidRDefault="00000000">
            <w:pPr>
              <w:jc w:val="right"/>
            </w:pPr>
            <w:r>
              <w:rPr>
                <w:i/>
                <w:iCs/>
                <w:color w:val="4A4A4A"/>
                <w:sz w:val="15"/>
                <w:szCs w:val="15"/>
              </w:rPr>
              <w:t>All prices exclude VAT. Bespoke projects quoted on request.</w:t>
            </w:r>
          </w:p>
        </w:tc>
      </w:tr>
    </w:tbl>
    <w:p w14:paraId="60A991DC" w14:textId="77777777" w:rsidR="0081312E" w:rsidRDefault="0081312E">
      <w:pPr>
        <w:spacing w:line="80" w:lineRule="exact"/>
      </w:pPr>
    </w:p>
    <w:tbl>
      <w:tblPr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86"/>
      </w:tblGrid>
      <w:tr w:rsidR="0081312E" w14:paraId="0DCDDBF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91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C4A3E"/>
          </w:tcPr>
          <w:p w14:paraId="644D8AAC" w14:textId="77777777" w:rsidR="0081312E" w:rsidRDefault="0081312E"/>
        </w:tc>
      </w:tr>
    </w:tbl>
    <w:p w14:paraId="2D7BCF99" w14:textId="77777777" w:rsidR="00C37CC4" w:rsidRDefault="00C37CC4"/>
    <w:sectPr w:rsidR="00C37CC4">
      <w:pgSz w:w="11906" w:h="16838"/>
      <w:pgMar w:top="680" w:right="680" w:bottom="680" w:left="6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576"/>
    <w:multiLevelType w:val="hybridMultilevel"/>
    <w:tmpl w:val="E58CD0DA"/>
    <w:lvl w:ilvl="0" w:tplc="D278C0B6">
      <w:start w:val="1"/>
      <w:numFmt w:val="bullet"/>
      <w:lvlText w:val="•"/>
      <w:lvlJc w:val="left"/>
      <w:pPr>
        <w:ind w:left="360" w:hanging="260"/>
      </w:pPr>
      <w:rPr>
        <w:rFonts w:ascii="Arial" w:eastAsia="Arial" w:hAnsi="Arial" w:cs="Arial"/>
        <w:color w:val="2C4A3E"/>
        <w:sz w:val="17"/>
        <w:szCs w:val="17"/>
      </w:rPr>
    </w:lvl>
    <w:lvl w:ilvl="1" w:tplc="7FC406FE">
      <w:numFmt w:val="decimal"/>
      <w:lvlText w:val=""/>
      <w:lvlJc w:val="left"/>
    </w:lvl>
    <w:lvl w:ilvl="2" w:tplc="9214802C">
      <w:numFmt w:val="decimal"/>
      <w:lvlText w:val=""/>
      <w:lvlJc w:val="left"/>
    </w:lvl>
    <w:lvl w:ilvl="3" w:tplc="A7E6BF2A">
      <w:numFmt w:val="decimal"/>
      <w:lvlText w:val=""/>
      <w:lvlJc w:val="left"/>
    </w:lvl>
    <w:lvl w:ilvl="4" w:tplc="45600B78">
      <w:numFmt w:val="decimal"/>
      <w:lvlText w:val=""/>
      <w:lvlJc w:val="left"/>
    </w:lvl>
    <w:lvl w:ilvl="5" w:tplc="6AFCC6E6">
      <w:numFmt w:val="decimal"/>
      <w:lvlText w:val=""/>
      <w:lvlJc w:val="left"/>
    </w:lvl>
    <w:lvl w:ilvl="6" w:tplc="235CFB6C">
      <w:numFmt w:val="decimal"/>
      <w:lvlText w:val=""/>
      <w:lvlJc w:val="left"/>
    </w:lvl>
    <w:lvl w:ilvl="7" w:tplc="1C72BA82">
      <w:numFmt w:val="decimal"/>
      <w:lvlText w:val=""/>
      <w:lvlJc w:val="left"/>
    </w:lvl>
    <w:lvl w:ilvl="8" w:tplc="81E6EE08">
      <w:numFmt w:val="decimal"/>
      <w:lvlText w:val=""/>
      <w:lvlJc w:val="left"/>
    </w:lvl>
  </w:abstractNum>
  <w:abstractNum w:abstractNumId="1" w15:restartNumberingAfterBreak="0">
    <w:nsid w:val="0DCC760D"/>
    <w:multiLevelType w:val="hybridMultilevel"/>
    <w:tmpl w:val="2BE0B290"/>
    <w:lvl w:ilvl="0" w:tplc="D4ECF5B0">
      <w:start w:val="1"/>
      <w:numFmt w:val="bullet"/>
      <w:lvlText w:val="•"/>
      <w:lvlJc w:val="left"/>
      <w:pPr>
        <w:ind w:left="360" w:hanging="260"/>
      </w:pPr>
      <w:rPr>
        <w:rFonts w:ascii="Arial" w:eastAsia="Arial" w:hAnsi="Arial" w:cs="Arial"/>
        <w:color w:val="2C4A3E"/>
        <w:sz w:val="17"/>
        <w:szCs w:val="17"/>
      </w:rPr>
    </w:lvl>
    <w:lvl w:ilvl="1" w:tplc="EFC02DA2">
      <w:numFmt w:val="decimal"/>
      <w:lvlText w:val=""/>
      <w:lvlJc w:val="left"/>
    </w:lvl>
    <w:lvl w:ilvl="2" w:tplc="F6E43970">
      <w:numFmt w:val="decimal"/>
      <w:lvlText w:val=""/>
      <w:lvlJc w:val="left"/>
    </w:lvl>
    <w:lvl w:ilvl="3" w:tplc="052A5822">
      <w:numFmt w:val="decimal"/>
      <w:lvlText w:val=""/>
      <w:lvlJc w:val="left"/>
    </w:lvl>
    <w:lvl w:ilvl="4" w:tplc="945E815E">
      <w:numFmt w:val="decimal"/>
      <w:lvlText w:val=""/>
      <w:lvlJc w:val="left"/>
    </w:lvl>
    <w:lvl w:ilvl="5" w:tplc="7A520026">
      <w:numFmt w:val="decimal"/>
      <w:lvlText w:val=""/>
      <w:lvlJc w:val="left"/>
    </w:lvl>
    <w:lvl w:ilvl="6" w:tplc="EB441F7C">
      <w:numFmt w:val="decimal"/>
      <w:lvlText w:val=""/>
      <w:lvlJc w:val="left"/>
    </w:lvl>
    <w:lvl w:ilvl="7" w:tplc="2496E7FC">
      <w:numFmt w:val="decimal"/>
      <w:lvlText w:val=""/>
      <w:lvlJc w:val="left"/>
    </w:lvl>
    <w:lvl w:ilvl="8" w:tplc="58588E20">
      <w:numFmt w:val="decimal"/>
      <w:lvlText w:val=""/>
      <w:lvlJc w:val="left"/>
    </w:lvl>
  </w:abstractNum>
  <w:abstractNum w:abstractNumId="2" w15:restartNumberingAfterBreak="0">
    <w:nsid w:val="1B0B1F80"/>
    <w:multiLevelType w:val="hybridMultilevel"/>
    <w:tmpl w:val="7066846E"/>
    <w:lvl w:ilvl="0" w:tplc="D01692DC">
      <w:start w:val="1"/>
      <w:numFmt w:val="bullet"/>
      <w:lvlText w:val="•"/>
      <w:lvlJc w:val="left"/>
      <w:pPr>
        <w:ind w:left="360" w:hanging="260"/>
      </w:pPr>
      <w:rPr>
        <w:rFonts w:ascii="Arial" w:eastAsia="Arial" w:hAnsi="Arial" w:cs="Arial"/>
        <w:color w:val="2C4A3E"/>
        <w:sz w:val="17"/>
        <w:szCs w:val="17"/>
      </w:rPr>
    </w:lvl>
    <w:lvl w:ilvl="1" w:tplc="A83467B2">
      <w:numFmt w:val="decimal"/>
      <w:lvlText w:val=""/>
      <w:lvlJc w:val="left"/>
    </w:lvl>
    <w:lvl w:ilvl="2" w:tplc="773E01CA">
      <w:numFmt w:val="decimal"/>
      <w:lvlText w:val=""/>
      <w:lvlJc w:val="left"/>
    </w:lvl>
    <w:lvl w:ilvl="3" w:tplc="E02CB652">
      <w:numFmt w:val="decimal"/>
      <w:lvlText w:val=""/>
      <w:lvlJc w:val="left"/>
    </w:lvl>
    <w:lvl w:ilvl="4" w:tplc="01243330">
      <w:numFmt w:val="decimal"/>
      <w:lvlText w:val=""/>
      <w:lvlJc w:val="left"/>
    </w:lvl>
    <w:lvl w:ilvl="5" w:tplc="276011F8">
      <w:numFmt w:val="decimal"/>
      <w:lvlText w:val=""/>
      <w:lvlJc w:val="left"/>
    </w:lvl>
    <w:lvl w:ilvl="6" w:tplc="B66A9768">
      <w:numFmt w:val="decimal"/>
      <w:lvlText w:val=""/>
      <w:lvlJc w:val="left"/>
    </w:lvl>
    <w:lvl w:ilvl="7" w:tplc="FED4D9C2">
      <w:numFmt w:val="decimal"/>
      <w:lvlText w:val=""/>
      <w:lvlJc w:val="left"/>
    </w:lvl>
    <w:lvl w:ilvl="8" w:tplc="928CACE8">
      <w:numFmt w:val="decimal"/>
      <w:lvlText w:val=""/>
      <w:lvlJc w:val="left"/>
    </w:lvl>
  </w:abstractNum>
  <w:abstractNum w:abstractNumId="3" w15:restartNumberingAfterBreak="0">
    <w:nsid w:val="39F37132"/>
    <w:multiLevelType w:val="hybridMultilevel"/>
    <w:tmpl w:val="DCAA0842"/>
    <w:lvl w:ilvl="0" w:tplc="1CDC995C">
      <w:start w:val="1"/>
      <w:numFmt w:val="bullet"/>
      <w:lvlText w:val="●"/>
      <w:lvlJc w:val="left"/>
      <w:pPr>
        <w:ind w:left="720" w:hanging="360"/>
      </w:pPr>
    </w:lvl>
    <w:lvl w:ilvl="1" w:tplc="DF66EE46">
      <w:start w:val="1"/>
      <w:numFmt w:val="bullet"/>
      <w:lvlText w:val="○"/>
      <w:lvlJc w:val="left"/>
      <w:pPr>
        <w:ind w:left="1440" w:hanging="360"/>
      </w:pPr>
    </w:lvl>
    <w:lvl w:ilvl="2" w:tplc="9BF45812">
      <w:start w:val="1"/>
      <w:numFmt w:val="bullet"/>
      <w:lvlText w:val="■"/>
      <w:lvlJc w:val="left"/>
      <w:pPr>
        <w:ind w:left="2160" w:hanging="360"/>
      </w:pPr>
    </w:lvl>
    <w:lvl w:ilvl="3" w:tplc="3C3634C6">
      <w:start w:val="1"/>
      <w:numFmt w:val="bullet"/>
      <w:lvlText w:val="●"/>
      <w:lvlJc w:val="left"/>
      <w:pPr>
        <w:ind w:left="2880" w:hanging="360"/>
      </w:pPr>
    </w:lvl>
    <w:lvl w:ilvl="4" w:tplc="FEA6CCF8">
      <w:start w:val="1"/>
      <w:numFmt w:val="bullet"/>
      <w:lvlText w:val="○"/>
      <w:lvlJc w:val="left"/>
      <w:pPr>
        <w:ind w:left="3600" w:hanging="360"/>
      </w:pPr>
    </w:lvl>
    <w:lvl w:ilvl="5" w:tplc="FC1EBB5A">
      <w:start w:val="1"/>
      <w:numFmt w:val="bullet"/>
      <w:lvlText w:val="■"/>
      <w:lvlJc w:val="left"/>
      <w:pPr>
        <w:ind w:left="4320" w:hanging="360"/>
      </w:pPr>
    </w:lvl>
    <w:lvl w:ilvl="6" w:tplc="E7D8E722">
      <w:start w:val="1"/>
      <w:numFmt w:val="bullet"/>
      <w:lvlText w:val="●"/>
      <w:lvlJc w:val="left"/>
      <w:pPr>
        <w:ind w:left="5040" w:hanging="360"/>
      </w:pPr>
    </w:lvl>
    <w:lvl w:ilvl="7" w:tplc="86DE5EAE">
      <w:start w:val="1"/>
      <w:numFmt w:val="bullet"/>
      <w:lvlText w:val="●"/>
      <w:lvlJc w:val="left"/>
      <w:pPr>
        <w:ind w:left="5760" w:hanging="360"/>
      </w:pPr>
    </w:lvl>
    <w:lvl w:ilvl="8" w:tplc="BCF8117A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74FA6E77"/>
    <w:multiLevelType w:val="hybridMultilevel"/>
    <w:tmpl w:val="2598B29A"/>
    <w:lvl w:ilvl="0" w:tplc="716E12EE">
      <w:start w:val="1"/>
      <w:numFmt w:val="bullet"/>
      <w:lvlText w:val="•"/>
      <w:lvlJc w:val="left"/>
      <w:pPr>
        <w:ind w:left="360" w:hanging="260"/>
      </w:pPr>
      <w:rPr>
        <w:rFonts w:ascii="Arial" w:eastAsia="Arial" w:hAnsi="Arial" w:cs="Arial"/>
        <w:color w:val="2C4A3E"/>
        <w:sz w:val="17"/>
        <w:szCs w:val="17"/>
      </w:rPr>
    </w:lvl>
    <w:lvl w:ilvl="1" w:tplc="859883A2">
      <w:numFmt w:val="decimal"/>
      <w:lvlText w:val=""/>
      <w:lvlJc w:val="left"/>
    </w:lvl>
    <w:lvl w:ilvl="2" w:tplc="7B1C6BAC">
      <w:numFmt w:val="decimal"/>
      <w:lvlText w:val=""/>
      <w:lvlJc w:val="left"/>
    </w:lvl>
    <w:lvl w:ilvl="3" w:tplc="3F16C0EC">
      <w:numFmt w:val="decimal"/>
      <w:lvlText w:val=""/>
      <w:lvlJc w:val="left"/>
    </w:lvl>
    <w:lvl w:ilvl="4" w:tplc="D21612F6">
      <w:numFmt w:val="decimal"/>
      <w:lvlText w:val=""/>
      <w:lvlJc w:val="left"/>
    </w:lvl>
    <w:lvl w:ilvl="5" w:tplc="EEBA0126">
      <w:numFmt w:val="decimal"/>
      <w:lvlText w:val=""/>
      <w:lvlJc w:val="left"/>
    </w:lvl>
    <w:lvl w:ilvl="6" w:tplc="7FCEAABE">
      <w:numFmt w:val="decimal"/>
      <w:lvlText w:val=""/>
      <w:lvlJc w:val="left"/>
    </w:lvl>
    <w:lvl w:ilvl="7" w:tplc="D1229180">
      <w:numFmt w:val="decimal"/>
      <w:lvlText w:val=""/>
      <w:lvlJc w:val="left"/>
    </w:lvl>
    <w:lvl w:ilvl="8" w:tplc="61D233F4">
      <w:numFmt w:val="decimal"/>
      <w:lvlText w:val=""/>
      <w:lvlJc w:val="left"/>
    </w:lvl>
  </w:abstractNum>
  <w:num w:numId="1" w16cid:durableId="396443403">
    <w:abstractNumId w:val="3"/>
    <w:lvlOverride w:ilvl="0">
      <w:startOverride w:val="1"/>
    </w:lvlOverride>
  </w:num>
  <w:num w:numId="2" w16cid:durableId="1491212921">
    <w:abstractNumId w:val="1"/>
    <w:lvlOverride w:ilvl="0">
      <w:startOverride w:val="1"/>
    </w:lvlOverride>
  </w:num>
  <w:num w:numId="3" w16cid:durableId="1717504078">
    <w:abstractNumId w:val="2"/>
    <w:lvlOverride w:ilvl="0">
      <w:startOverride w:val="1"/>
    </w:lvlOverride>
  </w:num>
  <w:num w:numId="4" w16cid:durableId="1478373125">
    <w:abstractNumId w:val="4"/>
    <w:lvlOverride w:ilvl="0">
      <w:startOverride w:val="1"/>
    </w:lvlOverride>
  </w:num>
  <w:num w:numId="5" w16cid:durableId="2466961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12E"/>
    <w:rsid w:val="002705E4"/>
    <w:rsid w:val="0081312E"/>
    <w:rsid w:val="00A27E14"/>
    <w:rsid w:val="00C3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548DA"/>
  <w15:docId w15:val="{A5BDCF04-0B31-41D7-A03E-36E58858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C1C1C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Holly Bassett</cp:lastModifiedBy>
  <cp:revision>2</cp:revision>
  <dcterms:created xsi:type="dcterms:W3CDTF">2026-05-20T15:20:00Z</dcterms:created>
  <dcterms:modified xsi:type="dcterms:W3CDTF">2026-05-20T15:37:00Z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5f920076-9ab6-42e5-ab89-b41dbad3d26e</vt:lpwstr>
  </property>
</Properties>
</file>