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rFonts w:ascii="Arial" w:cs="Arial" w:eastAsia="Arial" w:hAnsi="Arial"/>
          <w:b/>
          <w:bCs/>
          <w:caps/>
          <w:color w:val="B8960C"/>
          <w:sz w:val="18"/>
          <w:szCs w:val="18"/>
        </w:rPr>
        <w:t xml:space="preserve">KNOWLEDGE BASE  |  WORKPLACE CONFLICT</w:t>
      </w:r>
    </w:p>
    <w:p>
      <w:pPr>
        <w:pStyle w:val="Heading1"/>
        <w:spacing w:after="120"/>
      </w:pPr>
      <w:r>
        <w:rPr>
          <w:rFonts w:ascii="Arial" w:cs="Arial" w:eastAsia="Arial" w:hAnsi="Arial"/>
          <w:b/>
          <w:bCs/>
          <w:color w:val="1F3A6B"/>
          <w:sz w:val="36"/>
          <w:szCs w:val="36"/>
        </w:rPr>
        <w:t xml:space="preserve">Investigate or Mediate? A Practical Guide for HR Professionals in the Public Sector</w:t>
      </w:r>
    </w:p>
    <w:p>
      <w:pPr>
        <w:pBdr>
          <w:bottom w:val="single" w:color="DDDDDD" w:sz="4" w:space="1"/>
        </w:pBdr>
        <w:spacing w:after="400"/>
      </w:pPr>
      <w:r>
        <w:rPr>
          <w:rFonts w:ascii="Arial" w:cs="Arial" w:eastAsia="Arial" w:hAnsi="Arial"/>
          <w:i/>
          <w:iCs/>
          <w:color w:val="777777"/>
          <w:sz w:val="20"/>
          <w:szCs w:val="20"/>
        </w:rPr>
        <w:t xml:space="preserve">By Stuart Bertram, MBA, Q.Med  |  10-8 Services Inc.</w:t>
      </w:r>
    </w:p>
    <w:p>
      <w:pPr>
        <w:spacing w:after="200"/>
      </w:pPr>
      <w:r>
        <w:rPr>
          <w:rFonts w:ascii="Georgia" w:cs="Georgia" w:eastAsia="Georgia" w:hAnsi="Georgia"/>
          <w:sz w:val="24"/>
          <w:szCs w:val="24"/>
        </w:rPr>
        <w:t xml:space="preserve">One of the most consequential decisions an HR professional in a municipal or public sector organization will make is also one of the most misunderstood: when a workplace complaint lands on your desk, do you investigate it — or do you mediate it?</w:t>
      </w:r>
    </w:p>
    <w:p>
      <w:pPr>
        <w:spacing w:after="200"/>
      </w:pPr>
      <w:r>
        <w:rPr>
          <w:rFonts w:ascii="Georgia" w:cs="Georgia" w:eastAsia="Georgia" w:hAnsi="Georgia"/>
          <w:sz w:val="24"/>
          <w:szCs w:val="24"/>
        </w:rPr>
        <w:t xml:space="preserve">Getting this wrong is costly. Mediating a matter that legally required a formal investigation can expose your organization to significant liability under the </w:t>
      </w:r>
      <w:r>
        <w:rPr>
          <w:rFonts w:ascii="Georgia" w:cs="Georgia" w:eastAsia="Georgia" w:hAnsi="Georgia"/>
          <w:i/>
          <w:iCs/>
          <w:sz w:val="24"/>
          <w:szCs w:val="24"/>
        </w:rPr>
        <w:t xml:space="preserve">Occupational Health and Safety Act</w:t>
      </w:r>
      <w:r>
        <w:rPr>
          <w:rFonts w:ascii="Georgia" w:cs="Georgia" w:eastAsia="Georgia" w:hAnsi="Georgia"/>
          <w:sz w:val="24"/>
          <w:szCs w:val="24"/>
        </w:rPr>
        <w:t xml:space="preserve"> (OHSA) or the </w:t>
      </w:r>
      <w:r>
        <w:rPr>
          <w:rFonts w:ascii="Georgia" w:cs="Georgia" w:eastAsia="Georgia" w:hAnsi="Georgia"/>
          <w:i/>
          <w:iCs/>
          <w:sz w:val="24"/>
          <w:szCs w:val="24"/>
        </w:rPr>
        <w:t xml:space="preserve">Human Rights Code</w:t>
      </w:r>
      <w:r>
        <w:rPr>
          <w:rFonts w:ascii="Georgia" w:cs="Georgia" w:eastAsia="Georgia" w:hAnsi="Georgia"/>
          <w:sz w:val="24"/>
          <w:szCs w:val="24"/>
        </w:rPr>
        <w:t xml:space="preserve">. Investigating a matter that could have been resolved through skilled mediation, on the other hand, can damage working relationships, create adversarial dynamics, and consume organizational resources unnecessarily.</w:t>
      </w:r>
    </w:p>
    <w:p>
      <w:pPr>
        <w:spacing w:after="360"/>
      </w:pPr>
      <w:r>
        <w:rPr>
          <w:rFonts w:ascii="Georgia" w:cs="Georgia" w:eastAsia="Georgia" w:hAnsi="Georgia"/>
          <w:sz w:val="24"/>
          <w:szCs w:val="24"/>
        </w:rPr>
        <w:t xml:space="preserve">The good news: there is a principled framework for making this decision. And once you understand it, the path forward becomes much clearer.</w:t>
      </w:r>
    </w:p>
    <w:p>
      <w:pPr>
        <w:pStyle w:val="Heading2"/>
      </w:pPr>
      <w:r>
        <w:rPr>
          <w:rFonts w:ascii="Arial" w:cs="Arial" w:eastAsia="Arial" w:hAnsi="Arial"/>
          <w:b/>
          <w:bCs/>
          <w:color w:val="1F3A6B"/>
          <w:sz w:val="26"/>
          <w:szCs w:val="26"/>
        </w:rPr>
        <w:t xml:space="preserve">Understanding the Fundamental Difference</w:t>
      </w:r>
    </w:p>
    <w:p>
      <w:pPr>
        <w:spacing w:after="200"/>
      </w:pPr>
      <w:r>
        <w:rPr>
          <w:rFonts w:ascii="Georgia" w:cs="Georgia" w:eastAsia="Georgia" w:hAnsi="Georgia"/>
          <w:sz w:val="24"/>
          <w:szCs w:val="24"/>
        </w:rPr>
        <w:t xml:space="preserve">Investigation and mediation are not interchangeable tools. They serve fundamentally different purposes and produce fundamentally different outcomes.</w:t>
      </w:r>
    </w:p>
    <w:p>
      <w:pPr>
        <w:spacing w:after="200"/>
      </w:pPr>
      <w:r>
        <w:rPr>
          <w:rFonts w:ascii="Georgia" w:cs="Georgia" w:eastAsia="Georgia" w:hAnsi="Georgia"/>
          <w:sz w:val="24"/>
          <w:szCs w:val="24"/>
        </w:rPr>
        <w:t xml:space="preserve">A workplace investigation </w:t>
      </w:r>
      <w:r>
        <w:rPr>
          <w:rFonts w:ascii="Georgia" w:cs="Georgia" w:eastAsia="Georgia" w:hAnsi="Georgia"/>
          <w:b/>
          <w:bCs/>
          <w:sz w:val="24"/>
          <w:szCs w:val="24"/>
        </w:rPr>
        <w:t xml:space="preserve">is a formal fact-finding process</w:t>
      </w:r>
      <w:r>
        <w:rPr>
          <w:rFonts w:ascii="Georgia" w:cs="Georgia" w:eastAsia="Georgia" w:hAnsi="Georgia"/>
          <w:sz w:val="24"/>
          <w:szCs w:val="24"/>
        </w:rPr>
        <w:t xml:space="preserve">. An independent investigator gathers evidence, conducts interviews, assesses credibility, makes findings of fact, and produces a written report with conclusions. The goal is to determine what happened — and whether it constitutes a violation of policy, legislation, or both. The process is quasi-judicial in nature, and procedural fairness and natural justice are not optional; they are obligations.</w:t>
      </w:r>
    </w:p>
    <w:p>
      <w:pPr>
        <w:spacing w:after="360"/>
      </w:pPr>
      <w:r>
        <w:rPr>
          <w:rFonts w:ascii="Georgia" w:cs="Georgia" w:eastAsia="Georgia" w:hAnsi="Georgia"/>
          <w:sz w:val="24"/>
          <w:szCs w:val="24"/>
        </w:rPr>
        <w:t xml:space="preserve">Mediation </w:t>
      </w:r>
      <w:r>
        <w:rPr>
          <w:rFonts w:ascii="Georgia" w:cs="Georgia" w:eastAsia="Georgia" w:hAnsi="Georgia"/>
          <w:b/>
          <w:bCs/>
          <w:sz w:val="24"/>
          <w:szCs w:val="24"/>
        </w:rPr>
        <w:t xml:space="preserve">is a structured, facilitated negotiation</w:t>
      </w:r>
      <w:r>
        <w:rPr>
          <w:rFonts w:ascii="Georgia" w:cs="Georgia" w:eastAsia="Georgia" w:hAnsi="Georgia"/>
          <w:sz w:val="24"/>
          <w:szCs w:val="24"/>
        </w:rPr>
        <w:t xml:space="preserve">. A neutral third party helps the parties in conflict reach a mutually acceptable resolution. There are no findings of fact, no determination of wrongdoing, and no written report establishing what occurred. The process is interest-based and forward-looking. Its success depends entirely on the voluntary participation and good faith of all parties.</w:t>
      </w:r>
    </w:p>
    <w:p>
      <w:pPr>
        <w:pStyle w:val="Heading2"/>
      </w:pPr>
      <w:r>
        <w:rPr>
          <w:rFonts w:ascii="Arial" w:cs="Arial" w:eastAsia="Arial" w:hAnsi="Arial"/>
          <w:b/>
          <w:bCs/>
          <w:color w:val="1F3A6B"/>
          <w:sz w:val="26"/>
          <w:szCs w:val="26"/>
        </w:rPr>
        <w:t xml:space="preserve">When You Must Investigate</w:t>
      </w:r>
    </w:p>
    <w:p>
      <w:pPr>
        <w:spacing w:after="160"/>
      </w:pPr>
      <w:r>
        <w:rPr>
          <w:rFonts w:ascii="Georgia" w:cs="Georgia" w:eastAsia="Georgia" w:hAnsi="Georgia"/>
          <w:sz w:val="24"/>
          <w:szCs w:val="24"/>
        </w:rPr>
        <w:t xml:space="preserve">Certain circumstances remove discretion from the equation. If any of the following apply, a formal investigation is not optional — it is a legal obligation:</w:t>
      </w:r>
    </w:p>
    <w:p>
      <w:pPr>
        <w:pStyle w:val="ListParagraph"/>
        <w:numPr>
          <w:ilvl w:val="0"/>
          <w:numId w:val="2"/>
        </w:numPr>
        <w:spacing w:after="80"/>
      </w:pPr>
      <w:r>
        <w:rPr>
          <w:rFonts w:ascii="Georgia" w:cs="Georgia" w:eastAsia="Georgia" w:hAnsi="Georgia"/>
          <w:b/>
          <w:bCs/>
          <w:sz w:val="24"/>
          <w:szCs w:val="24"/>
        </w:rPr>
        <w:t xml:space="preserve">A complaint of workplace harassment or sexual harassment has been made under the OHSA.</w:t>
      </w:r>
    </w:p>
    <w:p>
      <w:pPr>
        <w:spacing w:after="200"/>
        <w:ind w:left="720"/>
      </w:pPr>
      <w:r>
        <w:rPr>
          <w:rFonts w:ascii="Georgia" w:cs="Georgia" w:eastAsia="Georgia" w:hAnsi="Georgia"/>
          <w:sz w:val="24"/>
          <w:szCs w:val="24"/>
        </w:rPr>
        <w:t xml:space="preserve">Under Bill 132 amendments to the OHSA, Ontario employers are legally required to investigate workplace harassment complaints in a manner that is appropriate in the circumstances. Failing to do so creates direct liability for the organization and its leadership.</w:t>
      </w:r>
    </w:p>
    <w:p>
      <w:pPr>
        <w:pStyle w:val="ListParagraph"/>
        <w:numPr>
          <w:ilvl w:val="0"/>
          <w:numId w:val="2"/>
        </w:numPr>
        <w:spacing w:after="80"/>
      </w:pPr>
      <w:r>
        <w:rPr>
          <w:rFonts w:ascii="Georgia" w:cs="Georgia" w:eastAsia="Georgia" w:hAnsi="Georgia"/>
          <w:b/>
          <w:bCs/>
          <w:sz w:val="24"/>
          <w:szCs w:val="24"/>
        </w:rPr>
        <w:t xml:space="preserve">The conduct alleged, if proven, would constitute a Human Rights Code violation.</w:t>
      </w:r>
    </w:p>
    <w:p>
      <w:pPr>
        <w:spacing w:after="200"/>
        <w:ind w:left="720"/>
      </w:pPr>
      <w:r>
        <w:rPr>
          <w:rFonts w:ascii="Georgia" w:cs="Georgia" w:eastAsia="Georgia" w:hAnsi="Georgia"/>
          <w:sz w:val="24"/>
          <w:szCs w:val="24"/>
        </w:rPr>
        <w:t xml:space="preserve">Allegations involving discrimination based on a protected ground — race, gender, disability, age, religion, and others — require objective fact-finding. The parties' agreement to mediate does not extinguish the organization's obligation to understand and address what occurred.</w:t>
      </w:r>
    </w:p>
    <w:p>
      <w:pPr>
        <w:pStyle w:val="ListParagraph"/>
        <w:numPr>
          <w:ilvl w:val="0"/>
          <w:numId w:val="2"/>
        </w:numPr>
        <w:spacing w:after="80"/>
      </w:pPr>
      <w:r>
        <w:rPr>
          <w:rFonts w:ascii="Georgia" w:cs="Georgia" w:eastAsia="Georgia" w:hAnsi="Georgia"/>
          <w:b/>
          <w:bCs/>
          <w:sz w:val="24"/>
          <w:szCs w:val="24"/>
        </w:rPr>
        <w:t xml:space="preserve">The subject of the complaint holds a position of authority over the complainant.</w:t>
      </w:r>
    </w:p>
    <w:p>
      <w:pPr>
        <w:spacing w:after="200"/>
        <w:ind w:left="720"/>
      </w:pPr>
      <w:r>
        <w:rPr>
          <w:rFonts w:ascii="Georgia" w:cs="Georgia" w:eastAsia="Georgia" w:hAnsi="Georgia"/>
          <w:sz w:val="24"/>
          <w:szCs w:val="24"/>
        </w:rPr>
        <w:t xml:space="preserve">Power imbalances fundamentally undermine the voluntary nature of mediation. When a supervisor, manager, or executive is the respondent, mediation carries a significant risk of coercion — real or perceived — and rarely produces durable outcomes.</w:t>
      </w:r>
    </w:p>
    <w:p>
      <w:pPr>
        <w:pStyle w:val="ListParagraph"/>
        <w:numPr>
          <w:ilvl w:val="0"/>
          <w:numId w:val="2"/>
        </w:numPr>
        <w:spacing w:after="80"/>
      </w:pPr>
      <w:r>
        <w:rPr>
          <w:rFonts w:ascii="Georgia" w:cs="Georgia" w:eastAsia="Georgia" w:hAnsi="Georgia"/>
          <w:b/>
          <w:bCs/>
          <w:sz w:val="24"/>
          <w:szCs w:val="24"/>
        </w:rPr>
        <w:t xml:space="preserve">There are potential criminal dimensions to the conduct alleged.</w:t>
      </w:r>
    </w:p>
    <w:p>
      <w:pPr>
        <w:spacing w:after="200"/>
        <w:ind w:left="720"/>
      </w:pPr>
      <w:r>
        <w:rPr>
          <w:rFonts w:ascii="Georgia" w:cs="Georgia" w:eastAsia="Georgia" w:hAnsi="Georgia"/>
          <w:sz w:val="24"/>
          <w:szCs w:val="24"/>
        </w:rPr>
        <w:t xml:space="preserve">Allegations involving physical assault, theft, fraud, or other conduct that may constitute a criminal offence require formal documentation. A mediated resolution does not protect the organization from its reporting obligations or from future liability.</w:t>
      </w:r>
    </w:p>
    <w:p>
      <w:pPr>
        <w:pStyle w:val="ListParagraph"/>
        <w:numPr>
          <w:ilvl w:val="0"/>
          <w:numId w:val="2"/>
        </w:numPr>
        <w:spacing w:after="80"/>
      </w:pPr>
      <w:r>
        <w:rPr>
          <w:rFonts w:ascii="Georgia" w:cs="Georgia" w:eastAsia="Georgia" w:hAnsi="Georgia"/>
          <w:b/>
          <w:bCs/>
          <w:sz w:val="24"/>
          <w:szCs w:val="24"/>
        </w:rPr>
        <w:t xml:space="preserve">The conduct, if substantiated, would warrant discipline or termination.</w:t>
      </w:r>
    </w:p>
    <w:p>
      <w:pPr>
        <w:spacing w:after="200"/>
        <w:ind w:left="720"/>
      </w:pPr>
      <w:r>
        <w:rPr>
          <w:rFonts w:ascii="Georgia" w:cs="Georgia" w:eastAsia="Georgia" w:hAnsi="Georgia"/>
          <w:sz w:val="24"/>
          <w:szCs w:val="24"/>
        </w:rPr>
        <w:t xml:space="preserve">Discipline and termination decisions must be defensible. They require documented findings. A mediated resolution, which produces no findings of fact, cannot form the evidentiary foundation for a disciplinary outcome.</w:t>
      </w:r>
    </w:p>
    <w:p>
      <w:pPr>
        <w:spacing w:after="160"/>
      </w:pPr>
    </w:p>
    <w:p>
      <w:pPr>
        <w:pStyle w:val="Heading2"/>
      </w:pPr>
      <w:r>
        <w:rPr>
          <w:rFonts w:ascii="Arial" w:cs="Arial" w:eastAsia="Arial" w:hAnsi="Arial"/>
          <w:b/>
          <w:bCs/>
          <w:color w:val="1F3A6B"/>
          <w:sz w:val="26"/>
          <w:szCs w:val="26"/>
        </w:rPr>
        <w:t xml:space="preserve">When Mediation Is the Right Choice</w:t>
      </w:r>
    </w:p>
    <w:p>
      <w:pPr>
        <w:spacing w:after="160"/>
      </w:pPr>
      <w:r>
        <w:rPr>
          <w:rFonts w:ascii="Georgia" w:cs="Georgia" w:eastAsia="Georgia" w:hAnsi="Georgia"/>
          <w:sz w:val="24"/>
          <w:szCs w:val="24"/>
        </w:rPr>
        <w:t xml:space="preserve">Where there is no legal obligation to investigate, mediation can be a faster, less adversarial, and more durable path to resolution. The following indicators suggest mediation is appropriate:</w:t>
      </w:r>
    </w:p>
    <w:p>
      <w:pPr>
        <w:pStyle w:val="ListParagraph"/>
        <w:numPr>
          <w:ilvl w:val="0"/>
          <w:numId w:val="2"/>
        </w:numPr>
        <w:spacing w:after="140"/>
      </w:pPr>
      <w:r>
        <w:rPr>
          <w:rFonts w:ascii="Georgia" w:cs="Georgia" w:eastAsia="Georgia" w:hAnsi="Georgia"/>
          <w:sz w:val="24"/>
          <w:szCs w:val="24"/>
        </w:rPr>
        <w:t xml:space="preserve">The conflict is primarily interpersonal — a breakdown in communication, a personality clash, or a dispute over workplace roles and responsibilities — rather than an allegation of misconduct.</w:t>
      </w:r>
    </w:p>
    <w:p>
      <w:pPr>
        <w:pStyle w:val="ListParagraph"/>
        <w:numPr>
          <w:ilvl w:val="0"/>
          <w:numId w:val="2"/>
        </w:numPr>
        <w:spacing w:after="140"/>
      </w:pPr>
      <w:r>
        <w:rPr>
          <w:rFonts w:ascii="Georgia" w:cs="Georgia" w:eastAsia="Georgia" w:hAnsi="Georgia"/>
          <w:sz w:val="24"/>
          <w:szCs w:val="24"/>
        </w:rPr>
        <w:t xml:space="preserve">Both parties have expressed a willingness to engage in a resolution process and there is no meaningful power imbalance between them.</w:t>
      </w:r>
    </w:p>
    <w:p>
      <w:pPr>
        <w:pStyle w:val="ListParagraph"/>
        <w:numPr>
          <w:ilvl w:val="0"/>
          <w:numId w:val="2"/>
        </w:numPr>
        <w:spacing w:after="140"/>
      </w:pPr>
      <w:r>
        <w:rPr>
          <w:rFonts w:ascii="Georgia" w:cs="Georgia" w:eastAsia="Georgia" w:hAnsi="Georgia"/>
          <w:sz w:val="24"/>
          <w:szCs w:val="24"/>
        </w:rPr>
        <w:t xml:space="preserve">The ongoing working relationship has value to the organization and preservation of that relationship is a legitimate organizational goal.</w:t>
      </w:r>
    </w:p>
    <w:p>
      <w:pPr>
        <w:pStyle w:val="ListParagraph"/>
        <w:numPr>
          <w:ilvl w:val="0"/>
          <w:numId w:val="2"/>
        </w:numPr>
        <w:spacing w:after="140"/>
      </w:pPr>
      <w:r>
        <w:rPr>
          <w:rFonts w:ascii="Georgia" w:cs="Georgia" w:eastAsia="Georgia" w:hAnsi="Georgia"/>
          <w:sz w:val="24"/>
          <w:szCs w:val="24"/>
        </w:rPr>
        <w:t xml:space="preserve">No legislation, policy, or collective agreement requires a formal investigation under the circumstances.</w:t>
      </w:r>
    </w:p>
    <w:p>
      <w:pPr>
        <w:pStyle w:val="ListParagraph"/>
        <w:numPr>
          <w:ilvl w:val="0"/>
          <w:numId w:val="2"/>
        </w:numPr>
        <w:spacing w:after="140"/>
      </w:pPr>
      <w:r>
        <w:rPr>
          <w:rFonts w:ascii="Georgia" w:cs="Georgia" w:eastAsia="Georgia" w:hAnsi="Georgia"/>
          <w:sz w:val="24"/>
          <w:szCs w:val="24"/>
        </w:rPr>
        <w:t xml:space="preserve">Early intervention is possible — mediation is most effective when pursued before positions harden and the conflict escalates.</w:t>
      </w:r>
    </w:p>
    <w:p>
      <w:pPr>
        <w:spacing w:after="160"/>
      </w:pPr>
    </w:p>
    <w:p>
      <w:pPr>
        <w:pStyle w:val="Heading2"/>
      </w:pPr>
      <w:r>
        <w:rPr>
          <w:rFonts w:ascii="Arial" w:cs="Arial" w:eastAsia="Arial" w:hAnsi="Arial"/>
          <w:b/>
          <w:bCs/>
          <w:color w:val="1F3A6B"/>
          <w:sz w:val="26"/>
          <w:szCs w:val="26"/>
        </w:rPr>
        <w:t xml:space="preserve">The Grey Zone: Triage Before You Decide</w:t>
      </w:r>
    </w:p>
    <w:p>
      <w:pPr>
        <w:spacing w:after="200"/>
      </w:pPr>
      <w:r>
        <w:rPr>
          <w:rFonts w:ascii="Georgia" w:cs="Georgia" w:eastAsia="Georgia" w:hAnsi="Georgia"/>
          <w:sz w:val="24"/>
          <w:szCs w:val="24"/>
        </w:rPr>
        <w:t xml:space="preserve">Many matters present with some elements of both. A long-standing interpersonal conflict may have produced individual incidents that, viewed in isolation, could constitute harassment. A harassment complaint may, on examination, be rooted in a communication breakdown that both parties want to resolve.</w:t>
      </w:r>
    </w:p>
    <w:p>
      <w:pPr>
        <w:spacing w:after="200"/>
      </w:pPr>
      <w:r>
        <w:rPr>
          <w:rFonts w:ascii="Georgia" w:cs="Georgia" w:eastAsia="Georgia" w:hAnsi="Georgia"/>
          <w:sz w:val="24"/>
          <w:szCs w:val="24"/>
        </w:rPr>
        <w:t xml:space="preserve">In these situations, a preliminary triage — ideally conducted by or in consultation with an experienced third-party professional — is invaluable. Triage is not investigation. It does not involve formal interviews, evidence gathering, or findings of fact. It is a structured intake process designed to understand the nature of the complaint well enough to determine the appropriate response.</w:t>
      </w:r>
    </w:p>
    <w:p>
      <w:pPr>
        <w:spacing w:after="360"/>
      </w:pPr>
      <w:r>
        <w:rPr>
          <w:rFonts w:ascii="Georgia" w:cs="Georgia" w:eastAsia="Georgia" w:hAnsi="Georgia"/>
          <w:sz w:val="24"/>
          <w:szCs w:val="24"/>
        </w:rPr>
        <w:t xml:space="preserve">Public sector HR professionals face particular pressure in this space. Collective agreements, union representation, legislative obligations, and public accountability requirements create a complex environment where a misstep — in either direction — carries organizational and reputational consequences. The cost of getting it wrong is rarely absorbed quietly.</w:t>
      </w:r>
    </w:p>
    <w:p>
      <w:pPr>
        <w:pStyle w:val="Heading2"/>
      </w:pPr>
      <w:r>
        <w:rPr>
          <w:rFonts w:ascii="Arial" w:cs="Arial" w:eastAsia="Arial" w:hAnsi="Arial"/>
          <w:b/>
          <w:bCs/>
          <w:color w:val="1F3A6B"/>
          <w:sz w:val="26"/>
          <w:szCs w:val="26"/>
        </w:rPr>
        <w:t xml:space="preserve">A Practical Decision Framework</w:t>
      </w:r>
    </w:p>
    <w:p>
      <w:pPr>
        <w:spacing w:after="160"/>
      </w:pPr>
      <w:r>
        <w:rPr>
          <w:rFonts w:ascii="Georgia" w:cs="Georgia" w:eastAsia="Georgia" w:hAnsi="Georgia"/>
          <w:sz w:val="24"/>
          <w:szCs w:val="24"/>
        </w:rPr>
        <w:t xml:space="preserve">When a complaint arrives, work through these questions in order:</w:t>
      </w:r>
    </w:p>
    <w:p>
      <w:pPr>
        <w:pStyle w:val="ListParagraph"/>
        <w:numPr>
          <w:ilvl w:val="0"/>
          <w:numId w:val="2"/>
        </w:numPr>
        <w:spacing w:after="140"/>
      </w:pPr>
      <w:r>
        <w:rPr>
          <w:rFonts w:ascii="Georgia" w:cs="Georgia" w:eastAsia="Georgia" w:hAnsi="Georgia"/>
          <w:sz w:val="24"/>
          <w:szCs w:val="24"/>
        </w:rPr>
        <w:t xml:space="preserve">Is there a legal or policy obligation to investigate? If yes — investigate. Full stop.</w:t>
      </w:r>
    </w:p>
    <w:p>
      <w:pPr>
        <w:pStyle w:val="ListParagraph"/>
        <w:numPr>
          <w:ilvl w:val="0"/>
          <w:numId w:val="2"/>
        </w:numPr>
        <w:spacing w:after="140"/>
      </w:pPr>
      <w:r>
        <w:rPr>
          <w:rFonts w:ascii="Georgia" w:cs="Georgia" w:eastAsia="Georgia" w:hAnsi="Georgia"/>
          <w:sz w:val="24"/>
          <w:szCs w:val="24"/>
        </w:rPr>
        <w:t xml:space="preserve">Does the allegation, if proven, constitute harassment, discrimination, or misconduct warranting discipline? If yes — investigate.</w:t>
      </w:r>
    </w:p>
    <w:p>
      <w:pPr>
        <w:pStyle w:val="ListParagraph"/>
        <w:numPr>
          <w:ilvl w:val="0"/>
          <w:numId w:val="2"/>
        </w:numPr>
        <w:spacing w:after="140"/>
      </w:pPr>
      <w:r>
        <w:rPr>
          <w:rFonts w:ascii="Georgia" w:cs="Georgia" w:eastAsia="Georgia" w:hAnsi="Georgia"/>
          <w:sz w:val="24"/>
          <w:szCs w:val="24"/>
        </w:rPr>
        <w:t xml:space="preserve">Is there a meaningful power imbalance between the parties? If yes — mediation carries significant risk. Consider investigation.</w:t>
      </w:r>
    </w:p>
    <w:p>
      <w:pPr>
        <w:pStyle w:val="ListParagraph"/>
        <w:numPr>
          <w:ilvl w:val="0"/>
          <w:numId w:val="2"/>
        </w:numPr>
        <w:spacing w:after="140"/>
      </w:pPr>
      <w:r>
        <w:rPr>
          <w:rFonts w:ascii="Georgia" w:cs="Georgia" w:eastAsia="Georgia" w:hAnsi="Georgia"/>
          <w:sz w:val="24"/>
          <w:szCs w:val="24"/>
        </w:rPr>
        <w:t xml:space="preserve">Are both parties capable of voluntary, good faith participation in a resolution process? If not — mediation will fail.</w:t>
      </w:r>
    </w:p>
    <w:p>
      <w:pPr>
        <w:pStyle w:val="ListParagraph"/>
        <w:numPr>
          <w:ilvl w:val="0"/>
          <w:numId w:val="2"/>
        </w:numPr>
        <w:spacing w:after="140"/>
      </w:pPr>
      <w:r>
        <w:rPr>
          <w:rFonts w:ascii="Georgia" w:cs="Georgia" w:eastAsia="Georgia" w:hAnsi="Georgia"/>
          <w:sz w:val="24"/>
          <w:szCs w:val="24"/>
        </w:rPr>
        <w:t xml:space="preserve">Is the preservation of the working relationship a realistic and legitimate goal? If yes, and none of the above apply — mediation is worth pursuing.</w:t>
      </w:r>
    </w:p>
    <w:p>
      <w:pPr>
        <w:spacing w:after="240"/>
      </w:pPr>
    </w:p>
    <w:p>
      <w:pPr>
        <w:spacing w:after="360"/>
      </w:pPr>
      <w:r>
        <w:rPr>
          <w:rFonts w:ascii="Georgia" w:cs="Georgia" w:eastAsia="Georgia" w:hAnsi="Georgia"/>
          <w:i/>
          <w:iCs/>
          <w:sz w:val="24"/>
          <w:szCs w:val="24"/>
        </w:rPr>
        <w:t xml:space="preserve">If you reach the end of this framework without a clear answer, that is itself useful information. It means the matter warrants a conversation with an experienced independent professional before you commit to a process.</w:t>
      </w:r>
    </w:p>
    <w:p>
      <w:pPr>
        <w:pStyle w:val="Heading2"/>
      </w:pPr>
      <w:r>
        <w:rPr>
          <w:rFonts w:ascii="Arial" w:cs="Arial" w:eastAsia="Arial" w:hAnsi="Arial"/>
          <w:b/>
          <w:bCs/>
          <w:color w:val="1F3A6B"/>
          <w:sz w:val="26"/>
          <w:szCs w:val="26"/>
        </w:rPr>
        <w:t xml:space="preserve">The Bottom Line</w:t>
      </w:r>
    </w:p>
    <w:p>
      <w:pPr>
        <w:spacing w:after="200"/>
      </w:pPr>
      <w:r>
        <w:rPr>
          <w:rFonts w:ascii="Georgia" w:cs="Georgia" w:eastAsia="Georgia" w:hAnsi="Georgia"/>
          <w:sz w:val="24"/>
          <w:szCs w:val="24"/>
        </w:rPr>
        <w:t xml:space="preserve">Investigation and mediation are both legitimate and valuable tools. Neither is inherently superior. What matters is deploying the right tool for the right situation — and understanding clearly that the choice has legal, organizational, and human consequences.</w:t>
      </w:r>
    </w:p>
    <w:p>
      <w:pPr>
        <w:spacing w:after="400"/>
      </w:pPr>
      <w:r>
        <w:rPr>
          <w:rFonts w:ascii="Georgia" w:cs="Georgia" w:eastAsia="Georgia" w:hAnsi="Georgia"/>
          <w:sz w:val="24"/>
          <w:szCs w:val="24"/>
        </w:rPr>
        <w:t xml:space="preserve">In the public sector, where accountability is heightened and the consequences of mishandled complaints extend beyond the organization itself, this decision deserves careful, informed judgment — not a default to whichever process feels less disruptive in the moment.</w:t>
      </w:r>
    </w:p>
    <w:p>
      <w:pPr>
        <w:pBdr>
          <w:top w:val="single" w:color="B8960C" w:sz="4" w:space="1"/>
        </w:pBdr>
        <w:spacing w:before="200" w:after="200"/>
      </w:pPr>
    </w:p>
    <w:p>
      <w:pPr>
        <w:spacing w:after="120"/>
      </w:pPr>
      <w:r>
        <w:rPr>
          <w:rFonts w:ascii="Arial" w:cs="Arial" w:eastAsia="Arial" w:hAnsi="Arial"/>
          <w:b/>
          <w:bCs/>
          <w:color w:val="1F3A6B"/>
          <w:sz w:val="22"/>
          <w:szCs w:val="22"/>
        </w:rPr>
        <w:t xml:space="preserve">About the Author</w:t>
      </w:r>
    </w:p>
    <w:p>
      <w:pPr>
        <w:spacing w:after="160"/>
      </w:pPr>
      <w:r>
        <w:rPr>
          <w:rFonts w:ascii="Georgia" w:cs="Georgia" w:eastAsia="Georgia" w:hAnsi="Georgia"/>
          <w:color w:val="555555"/>
          <w:sz w:val="20"/>
          <w:szCs w:val="20"/>
        </w:rPr>
        <w:t xml:space="preserve">Stuart Bertram is a Qualified Mediator (Q.Med), workplace investigator, and security consultant with over 30 years of law enforcement experience, including as an Inspector with the Ontario Provincial Police. He holds an MBA and an Executive Certificate in Alternative Dispute Resolution from the University of Windsor Faculty of Law. Stuart is the founder of 10-8 Services Inc., which provides independent workplace investigations, mediation, and security consulting to public and private sector organizations across Ontario. He is registered with the Human Resources Professionals Association (HRPA).</w:t>
      </w:r>
    </w:p>
    <w:p>
      <w:r>
        <w:rPr>
          <w:rFonts w:ascii="Arial" w:cs="Arial" w:eastAsia="Arial" w:hAnsi="Arial"/>
          <w:b/>
          <w:bCs/>
          <w:color w:val="1F3A6B"/>
          <w:sz w:val="20"/>
          <w:szCs w:val="20"/>
        </w:rPr>
        <w:t xml:space="preserve">www.10-8services.ca  |  info@10-8services.ca  |  519-257-8442</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1F3A6B"/>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C2C2C"/>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0" w:after="240"/>
      <w:outlineLvl w:val="0"/>
    </w:pPr>
    <w:rPr>
      <w:rFonts w:ascii="Arial" w:cs="Arial" w:eastAsia="Arial" w:hAnsi="Arial"/>
      <w:b/>
      <w:bCs/>
      <w:color w:val="1F3A6B"/>
      <w:sz w:val="36"/>
      <w:szCs w:val="36"/>
    </w:rPr>
  </w:style>
  <w:style w:type="paragraph" w:styleId="Heading2">
    <w:name w:val="Heading 2"/>
    <w:basedOn w:val="Normal"/>
    <w:next w:val="Normal"/>
    <w:qFormat/>
    <w:pPr>
      <w:spacing w:before="320" w:after="160"/>
      <w:outlineLvl w:val="1"/>
    </w:pPr>
    <w:rPr>
      <w:rFonts w:ascii="Arial" w:cs="Arial" w:eastAsia="Arial" w:hAnsi="Arial"/>
      <w:b/>
      <w:bCs/>
      <w:color w:val="1F3A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2026-03-08T01:50:46.461Z</dcterms:created>
  <dcterms:modified xsi:type="dcterms:W3CDTF">2026-03-08T01:50:46.462Z</dcterms:modified>
</cp:coreProperties>
</file>

<file path=docProps/custom.xml><?xml version="1.0" encoding="utf-8"?>
<Properties xmlns="http://schemas.openxmlformats.org/officeDocument/2006/custom-properties" xmlns:vt="http://schemas.openxmlformats.org/officeDocument/2006/docPropsVTypes"/>
</file>