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DC0A" w14:textId="22C08C3C" w:rsidR="00050A55" w:rsidRDefault="00050A55" w:rsidP="00050A55">
      <w:r w:rsidRPr="00050A55">
        <w:rPr>
          <w:b/>
          <w:bCs/>
        </w:rPr>
        <w:t>CBAM and the Rising Compliance Imperative for Hong Kong and China Listed Companies</w:t>
      </w:r>
      <w:r w:rsidRPr="00050A55">
        <w:br/>
      </w:r>
    </w:p>
    <w:p w14:paraId="5FB18E4C" w14:textId="7C216DA9" w:rsidR="00050A55" w:rsidRPr="00050A55" w:rsidRDefault="00050A55" w:rsidP="00050A55">
      <w:pPr>
        <w:rPr>
          <w:b/>
          <w:bCs/>
        </w:rPr>
      </w:pPr>
      <w:r w:rsidRPr="00050A55">
        <w:rPr>
          <w:b/>
          <w:bCs/>
        </w:rPr>
        <w:t>CBAM: Regulatory Background and Scope</w:t>
      </w:r>
    </w:p>
    <w:p w14:paraId="37EDA0CB" w14:textId="289DBA8B" w:rsidR="00050A55" w:rsidRPr="00050A55" w:rsidRDefault="00050A55" w:rsidP="00050A55">
      <w:r w:rsidRPr="00050A55">
        <w:t>Carbon pricing has become a mainstream climate policy tool, with 75 carbon taxes and emissions trading systems currently in place worldwide.</w:t>
      </w:r>
      <w:r>
        <w:rPr>
          <w:rFonts w:hint="eastAsia"/>
        </w:rPr>
        <w:t xml:space="preserve"> </w:t>
      </w:r>
      <w:r w:rsidRPr="00050A55">
        <w:t>The EU CBAM, adopted in 2023, is the first implemented border adjustment mechanism globally. It applies initially to:</w:t>
      </w:r>
    </w:p>
    <w:p w14:paraId="323E588C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Iron and steel</w:t>
      </w:r>
    </w:p>
    <w:p w14:paraId="1CD7D3AB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Aluminium</w:t>
      </w:r>
    </w:p>
    <w:p w14:paraId="1EE014AD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Cement</w:t>
      </w:r>
    </w:p>
    <w:p w14:paraId="1585E440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Fertilisers</w:t>
      </w:r>
    </w:p>
    <w:p w14:paraId="4C9235F4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Hydrogen</w:t>
      </w:r>
    </w:p>
    <w:p w14:paraId="202CAF27" w14:textId="77777777" w:rsidR="00050A55" w:rsidRPr="00050A55" w:rsidRDefault="00050A55" w:rsidP="00050A55">
      <w:pPr>
        <w:numPr>
          <w:ilvl w:val="0"/>
          <w:numId w:val="1"/>
        </w:numPr>
      </w:pPr>
      <w:r w:rsidRPr="00050A55">
        <w:t>Electricity</w:t>
      </w:r>
    </w:p>
    <w:p w14:paraId="06C04418" w14:textId="460A26EF" w:rsidR="00050A55" w:rsidRPr="00050A55" w:rsidRDefault="00050A55" w:rsidP="00050A55">
      <w:pPr>
        <w:rPr>
          <w:i/>
          <w:iCs/>
        </w:rPr>
      </w:pPr>
      <w:r w:rsidRPr="00050A55">
        <w:rPr>
          <w:i/>
          <w:iCs/>
        </w:rPr>
        <w:t xml:space="preserve">Importers must report embedded emissions during the transitional phase and, from </w:t>
      </w:r>
      <w:r w:rsidRPr="00050A55">
        <w:rPr>
          <w:b/>
          <w:bCs/>
          <w:i/>
          <w:iCs/>
        </w:rPr>
        <w:t>2026</w:t>
      </w:r>
      <w:r w:rsidRPr="00050A55">
        <w:rPr>
          <w:i/>
          <w:iCs/>
        </w:rPr>
        <w:t>, purchase CBAM certificates priced in line with allowances under the EU Emissions Trading System (ETS).</w:t>
      </w:r>
    </w:p>
    <w:p w14:paraId="19010717" w14:textId="0E8480C2" w:rsidR="00050A55" w:rsidRPr="00050A55" w:rsidRDefault="00050A55" w:rsidP="00050A55">
      <w:r w:rsidRPr="00050A55">
        <w:t xml:space="preserve">In October 2025, amendments under the EU’s “Omnibus” simplification package introduced a </w:t>
      </w:r>
      <w:r w:rsidRPr="00050A55">
        <w:rPr>
          <w:b/>
          <w:bCs/>
        </w:rPr>
        <w:t>de minimis exemption for importers below 50 tonnes annually</w:t>
      </w:r>
      <w:r w:rsidRPr="00050A55">
        <w:t xml:space="preserve"> (excluding hydrogen and electricity).</w:t>
      </w:r>
    </w:p>
    <w:p w14:paraId="6777788A" w14:textId="77777777" w:rsidR="00050A55" w:rsidRDefault="00050A55" w:rsidP="00050A55"/>
    <w:p w14:paraId="755EAC12" w14:textId="0C4C5577" w:rsidR="00050A55" w:rsidRPr="00050A55" w:rsidRDefault="00050A55" w:rsidP="00050A55">
      <w:pPr>
        <w:rPr>
          <w:b/>
          <w:bCs/>
        </w:rPr>
      </w:pPr>
      <w:r w:rsidRPr="00050A55">
        <w:rPr>
          <w:b/>
          <w:bCs/>
        </w:rPr>
        <w:t xml:space="preserve">Why This Matters for HK and China </w:t>
      </w:r>
      <w:proofErr w:type="spellStart"/>
      <w:r w:rsidRPr="00050A55">
        <w:rPr>
          <w:b/>
          <w:bCs/>
        </w:rPr>
        <w:t>ListCos</w:t>
      </w:r>
      <w:proofErr w:type="spellEnd"/>
    </w:p>
    <w:p w14:paraId="4BFC1F3B" w14:textId="77777777" w:rsidR="00050A55" w:rsidRPr="00050A55" w:rsidRDefault="00050A55" w:rsidP="00050A55">
      <w:r w:rsidRPr="00050A55">
        <w:t>For Hong Kong and Mainland China listed industrial companies exporting components to EU customers—directly or indirectly via Tier</w:t>
      </w:r>
      <w:r w:rsidRPr="00050A55">
        <w:noBreakHyphen/>
        <w:t>1 suppliers such as Bosch—CBAM creates three structural shifts:</w:t>
      </w:r>
    </w:p>
    <w:p w14:paraId="2246FB78" w14:textId="77777777" w:rsidR="00050A55" w:rsidRPr="00050A55" w:rsidRDefault="00050A55" w:rsidP="00050A55">
      <w:pPr>
        <w:numPr>
          <w:ilvl w:val="0"/>
          <w:numId w:val="2"/>
        </w:numPr>
      </w:pPr>
      <w:r w:rsidRPr="00050A55">
        <w:rPr>
          <w:b/>
          <w:bCs/>
        </w:rPr>
        <w:t>Mandatory embedded emissions disclosure</w:t>
      </w:r>
    </w:p>
    <w:p w14:paraId="1829E6B0" w14:textId="77777777" w:rsidR="00050A55" w:rsidRPr="00050A55" w:rsidRDefault="00050A55" w:rsidP="00050A55">
      <w:pPr>
        <w:numPr>
          <w:ilvl w:val="0"/>
          <w:numId w:val="2"/>
        </w:numPr>
      </w:pPr>
      <w:r w:rsidRPr="00050A55">
        <w:rPr>
          <w:b/>
          <w:bCs/>
        </w:rPr>
        <w:t>Financial exposure through carbon</w:t>
      </w:r>
      <w:r w:rsidRPr="00050A55">
        <w:rPr>
          <w:b/>
          <w:bCs/>
        </w:rPr>
        <w:noBreakHyphen/>
        <w:t>linked import costs</w:t>
      </w:r>
    </w:p>
    <w:p w14:paraId="1A83BB57" w14:textId="77777777" w:rsidR="00050A55" w:rsidRPr="00050A55" w:rsidRDefault="00050A55" w:rsidP="00050A55">
      <w:pPr>
        <w:numPr>
          <w:ilvl w:val="0"/>
          <w:numId w:val="2"/>
        </w:numPr>
      </w:pPr>
      <w:r w:rsidRPr="00050A55">
        <w:rPr>
          <w:b/>
          <w:bCs/>
        </w:rPr>
        <w:t>Increased supply chain scrutiny</w:t>
      </w:r>
    </w:p>
    <w:p w14:paraId="4AB6C46F" w14:textId="4F4CBC5B" w:rsidR="00050A55" w:rsidRPr="00050A55" w:rsidRDefault="00050A55" w:rsidP="00050A55">
      <w:r>
        <w:rPr>
          <w:rFonts w:hint="eastAsia"/>
        </w:rPr>
        <w:t>W</w:t>
      </w:r>
      <w:r w:rsidRPr="00050A55">
        <w:t>hile CBAM’s direct global emissions impact may be limited, it may drive policy spillovers and supply chain reconfiguration, incentivising exporters to adopt carbon pricing or cleaner technologies.</w:t>
      </w:r>
    </w:p>
    <w:p w14:paraId="609AA945" w14:textId="4DE2E179" w:rsidR="00050A55" w:rsidRPr="00050A55" w:rsidRDefault="00050A55" w:rsidP="00050A55">
      <w:r w:rsidRPr="00050A55">
        <w:lastRenderedPageBreak/>
        <w:t>If exporters fail to provide verified emissions data, EU authorities may apply default emission values, reportedly under consideration at relatively high levels—raising the risk that CBAM functions as a de facto trade</w:t>
      </w:r>
      <w:r w:rsidRPr="00050A55">
        <w:noBreakHyphen/>
        <w:t>restrictive measure.</w:t>
      </w:r>
    </w:p>
    <w:p w14:paraId="285C98D4" w14:textId="77777777" w:rsidR="00050A55" w:rsidRPr="00050A55" w:rsidRDefault="00050A55" w:rsidP="00050A55">
      <w:r w:rsidRPr="00050A55">
        <w:t>For automotive component suppliers, this creates a direct commercial linkage between carbon intensity and competitiveness.</w:t>
      </w:r>
    </w:p>
    <w:p w14:paraId="1707C39A" w14:textId="77777777" w:rsidR="00050A55" w:rsidRDefault="00050A55" w:rsidP="00050A55"/>
    <w:p w14:paraId="0E04A9C5" w14:textId="13F0C6D0" w:rsidR="00050A55" w:rsidRPr="00050A55" w:rsidRDefault="00050A55" w:rsidP="00050A55">
      <w:pPr>
        <w:rPr>
          <w:b/>
          <w:bCs/>
        </w:rPr>
      </w:pPr>
      <w:r w:rsidRPr="00050A55">
        <w:rPr>
          <w:b/>
          <w:bCs/>
        </w:rPr>
        <w:t>Trade Tensions and WTO Risk</w:t>
      </w:r>
    </w:p>
    <w:p w14:paraId="63F1A10A" w14:textId="77777777" w:rsidR="00050A55" w:rsidRPr="00050A55" w:rsidRDefault="00050A55" w:rsidP="00050A55">
      <w:r w:rsidRPr="00050A55">
        <w:t>CBAM has already triggered international friction:</w:t>
      </w:r>
    </w:p>
    <w:p w14:paraId="47BBD87F" w14:textId="77777777" w:rsidR="00050A55" w:rsidRPr="00050A55" w:rsidRDefault="00050A55" w:rsidP="00050A55">
      <w:pPr>
        <w:numPr>
          <w:ilvl w:val="0"/>
          <w:numId w:val="3"/>
        </w:numPr>
      </w:pPr>
      <w:r w:rsidRPr="00050A55">
        <w:rPr>
          <w:b/>
          <w:bCs/>
        </w:rPr>
        <w:t>Russia requested WTO consultations in May 2025</w:t>
      </w:r>
      <w:r w:rsidRPr="00050A55">
        <w:t>.</w:t>
      </w:r>
    </w:p>
    <w:p w14:paraId="0C6D4E24" w14:textId="77777777" w:rsidR="00050A55" w:rsidRPr="00050A55" w:rsidRDefault="00050A55" w:rsidP="00050A55">
      <w:pPr>
        <w:numPr>
          <w:ilvl w:val="0"/>
          <w:numId w:val="3"/>
        </w:numPr>
      </w:pPr>
      <w:r w:rsidRPr="00050A55">
        <w:rPr>
          <w:b/>
          <w:bCs/>
        </w:rPr>
        <w:t>India, China, and Brazil</w:t>
      </w:r>
      <w:r w:rsidRPr="00050A55">
        <w:t xml:space="preserve"> have criticised CBAM, arguing it may violate WTO principles and the UNFCCC principle of Common but Differentiated Responsibilities.</w:t>
      </w:r>
    </w:p>
    <w:p w14:paraId="585B71ED" w14:textId="77777777" w:rsidR="00050A55" w:rsidRPr="00050A55" w:rsidRDefault="00050A55" w:rsidP="00050A55">
      <w:pPr>
        <w:numPr>
          <w:ilvl w:val="0"/>
          <w:numId w:val="3"/>
        </w:numPr>
      </w:pPr>
      <w:r w:rsidRPr="00050A55">
        <w:t>Other sceptical WTO members include Indonesia, Japan, South Korea, Taiwan, Türkiye and Paraguay (</w:t>
      </w:r>
      <w:proofErr w:type="spellStart"/>
      <w:r w:rsidRPr="00050A55">
        <w:t>Lexology</w:t>
      </w:r>
      <w:proofErr w:type="spellEnd"/>
      <w:r w:rsidRPr="00050A55">
        <w:t>, 30 January 2026).</w:t>
      </w:r>
    </w:p>
    <w:p w14:paraId="472E6970" w14:textId="77777777" w:rsidR="00050A55" w:rsidRPr="00050A55" w:rsidRDefault="00050A55" w:rsidP="00050A55">
      <w:r w:rsidRPr="00050A55">
        <w:t>This geopolitical environment adds uncertainty for China</w:t>
      </w:r>
      <w:r w:rsidRPr="00050A55">
        <w:noBreakHyphen/>
        <w:t>based exporters reliant on EU market access.</w:t>
      </w:r>
    </w:p>
    <w:p w14:paraId="1322CD81" w14:textId="77777777" w:rsidR="00050A55" w:rsidRDefault="00050A55" w:rsidP="00050A55"/>
    <w:p w14:paraId="59C96D7F" w14:textId="1FE79A9A" w:rsidR="00050A55" w:rsidRPr="00050A55" w:rsidRDefault="00050A55" w:rsidP="00050A55">
      <w:pPr>
        <w:rPr>
          <w:b/>
          <w:bCs/>
        </w:rPr>
      </w:pPr>
      <w:r w:rsidRPr="00050A55">
        <w:rPr>
          <w:b/>
          <w:bCs/>
        </w:rPr>
        <w:t>From ESG Disclosure to Verification</w:t>
      </w:r>
      <w:r w:rsidRPr="00050A55">
        <w:rPr>
          <w:b/>
          <w:bCs/>
        </w:rPr>
        <w:noBreakHyphen/>
        <w:t>Ready Carbon Data</w:t>
      </w:r>
    </w:p>
    <w:p w14:paraId="1F7A8E3C" w14:textId="77777777" w:rsidR="00050A55" w:rsidRPr="00050A55" w:rsidRDefault="00050A55" w:rsidP="00050A55">
      <w:r w:rsidRPr="00050A55">
        <w:t>As EU buyers increasingly require primary emissions data, listed companies cannot rely solely on high</w:t>
      </w:r>
      <w:r w:rsidRPr="00050A55">
        <w:noBreakHyphen/>
        <w:t>level ESG reporting. ISO</w:t>
      </w:r>
      <w:r w:rsidRPr="00050A55">
        <w:noBreakHyphen/>
        <w:t>aligned Life Cycle Assessments (LCA), compliant with ISO 14040 and ISO 14044, are becoming essential tools for:</w:t>
      </w:r>
    </w:p>
    <w:p w14:paraId="3BAF5942" w14:textId="77777777" w:rsidR="00050A55" w:rsidRPr="00050A55" w:rsidRDefault="00050A55" w:rsidP="00050A55">
      <w:pPr>
        <w:numPr>
          <w:ilvl w:val="0"/>
          <w:numId w:val="4"/>
        </w:numPr>
      </w:pPr>
      <w:r w:rsidRPr="00050A55">
        <w:t>Demonstrating embedded emissions transparency</w:t>
      </w:r>
    </w:p>
    <w:p w14:paraId="50FFFB10" w14:textId="77777777" w:rsidR="00050A55" w:rsidRPr="00050A55" w:rsidRDefault="00050A55" w:rsidP="00050A55">
      <w:pPr>
        <w:numPr>
          <w:ilvl w:val="0"/>
          <w:numId w:val="4"/>
        </w:numPr>
      </w:pPr>
      <w:r w:rsidRPr="00050A55">
        <w:t>Avoiding punitive default values</w:t>
      </w:r>
    </w:p>
    <w:p w14:paraId="074F7699" w14:textId="77777777" w:rsidR="00050A55" w:rsidRPr="00050A55" w:rsidRDefault="00050A55" w:rsidP="00050A55">
      <w:pPr>
        <w:numPr>
          <w:ilvl w:val="0"/>
          <w:numId w:val="4"/>
        </w:numPr>
      </w:pPr>
      <w:r w:rsidRPr="00050A55">
        <w:t>Supporting Environmental Product Declarations (EPDs)</w:t>
      </w:r>
    </w:p>
    <w:p w14:paraId="0E8580A2" w14:textId="77777777" w:rsidR="00050A55" w:rsidRPr="00050A55" w:rsidRDefault="00050A55" w:rsidP="00050A55">
      <w:pPr>
        <w:numPr>
          <w:ilvl w:val="0"/>
          <w:numId w:val="4"/>
        </w:numPr>
      </w:pPr>
      <w:r w:rsidRPr="00050A55">
        <w:t>Maintaining preferred supplier status</w:t>
      </w:r>
    </w:p>
    <w:p w14:paraId="32A49168" w14:textId="77777777" w:rsidR="00050A55" w:rsidRDefault="00050A55" w:rsidP="00050A55">
      <w:r w:rsidRPr="00050A55">
        <w:t>Alaya’s LCA work for precision manufacturers shows that material sourcing and production energy often represent the largest emissions hotspots—insights that directly inform CBAM risk mitigation strategies.</w:t>
      </w:r>
    </w:p>
    <w:p w14:paraId="6A96EBFE" w14:textId="77777777" w:rsidR="0007093C" w:rsidRPr="00050A55" w:rsidRDefault="0007093C" w:rsidP="00050A55"/>
    <w:p w14:paraId="6447B95E" w14:textId="77777777" w:rsidR="00050A55" w:rsidRDefault="00050A55" w:rsidP="00050A55"/>
    <w:p w14:paraId="1CAC0327" w14:textId="3932933F" w:rsidR="00050A55" w:rsidRPr="00050A55" w:rsidRDefault="00050A55" w:rsidP="00050A55">
      <w:pPr>
        <w:rPr>
          <w:b/>
          <w:bCs/>
        </w:rPr>
      </w:pPr>
      <w:r w:rsidRPr="00050A55">
        <w:rPr>
          <w:b/>
          <w:bCs/>
        </w:rPr>
        <w:lastRenderedPageBreak/>
        <w:t>Strategic Implications for Listed Companies</w:t>
      </w:r>
    </w:p>
    <w:p w14:paraId="0E01BDC5" w14:textId="77777777" w:rsidR="00050A55" w:rsidRPr="00050A55" w:rsidRDefault="00050A55" w:rsidP="00050A55">
      <w:r w:rsidRPr="00050A55">
        <w:t>For HKEX and A</w:t>
      </w:r>
      <w:r w:rsidRPr="00050A55">
        <w:noBreakHyphen/>
        <w:t>share issuers, CBAM exposure translates into:</w:t>
      </w:r>
    </w:p>
    <w:p w14:paraId="73D9F6CB" w14:textId="77777777" w:rsidR="00050A55" w:rsidRPr="00050A55" w:rsidRDefault="00050A55" w:rsidP="00050A55">
      <w:pPr>
        <w:numPr>
          <w:ilvl w:val="0"/>
          <w:numId w:val="5"/>
        </w:numPr>
      </w:pPr>
      <w:r w:rsidRPr="00050A55">
        <w:rPr>
          <w:b/>
          <w:bCs/>
        </w:rPr>
        <w:t>Revenue risk</w:t>
      </w:r>
      <w:r w:rsidRPr="00050A55">
        <w:t xml:space="preserve"> in EU markets</w:t>
      </w:r>
    </w:p>
    <w:p w14:paraId="0BDDCDD9" w14:textId="77777777" w:rsidR="00050A55" w:rsidRPr="00050A55" w:rsidRDefault="00050A55" w:rsidP="00050A55">
      <w:pPr>
        <w:numPr>
          <w:ilvl w:val="0"/>
          <w:numId w:val="5"/>
        </w:numPr>
      </w:pPr>
      <w:r w:rsidRPr="00050A55">
        <w:rPr>
          <w:b/>
          <w:bCs/>
        </w:rPr>
        <w:t>Margin pressure</w:t>
      </w:r>
      <w:r w:rsidRPr="00050A55">
        <w:t xml:space="preserve"> from carbon cost pass</w:t>
      </w:r>
      <w:r w:rsidRPr="00050A55">
        <w:noBreakHyphen/>
        <w:t>through</w:t>
      </w:r>
    </w:p>
    <w:p w14:paraId="572EBA4C" w14:textId="77777777" w:rsidR="00050A55" w:rsidRPr="00050A55" w:rsidRDefault="00050A55" w:rsidP="00050A55">
      <w:pPr>
        <w:numPr>
          <w:ilvl w:val="0"/>
          <w:numId w:val="5"/>
        </w:numPr>
      </w:pPr>
      <w:r w:rsidRPr="00050A55">
        <w:rPr>
          <w:b/>
          <w:bCs/>
        </w:rPr>
        <w:t>Supply chain restructuring toward lower</w:t>
      </w:r>
      <w:r w:rsidRPr="00050A55">
        <w:rPr>
          <w:b/>
          <w:bCs/>
        </w:rPr>
        <w:noBreakHyphen/>
        <w:t>carbon inputs</w:t>
      </w:r>
    </w:p>
    <w:p w14:paraId="36ADE5DA" w14:textId="77777777" w:rsidR="00050A55" w:rsidRPr="00050A55" w:rsidRDefault="00050A55" w:rsidP="00050A55">
      <w:pPr>
        <w:numPr>
          <w:ilvl w:val="0"/>
          <w:numId w:val="5"/>
        </w:numPr>
      </w:pPr>
      <w:r w:rsidRPr="00050A55">
        <w:rPr>
          <w:b/>
          <w:bCs/>
        </w:rPr>
        <w:t>Heightened investor scrutiny of transition risk</w:t>
      </w:r>
    </w:p>
    <w:p w14:paraId="2C299AC3" w14:textId="77777777" w:rsidR="00050A55" w:rsidRDefault="00050A55" w:rsidP="00050A55"/>
    <w:p w14:paraId="606D7BEA" w14:textId="396ABEA8" w:rsidR="00050A55" w:rsidRPr="00050A55" w:rsidRDefault="00050A55" w:rsidP="00050A55">
      <w:r w:rsidRPr="00050A55">
        <w:t>CBAM’s environmental effectiveness may be debated, but its commercial consequences are already material. For Hong Kong and China listed companies exporting to EU industrial customers, carbon transparency is fast becoming a license to operate.</w:t>
      </w:r>
    </w:p>
    <w:p w14:paraId="63379BA5" w14:textId="77777777" w:rsidR="00050A55" w:rsidRPr="00050A55" w:rsidRDefault="00050A55" w:rsidP="00050A55">
      <w:r w:rsidRPr="00050A55">
        <w:t>Proactive development of verification</w:t>
      </w:r>
      <w:r w:rsidRPr="00050A55">
        <w:noBreakHyphen/>
        <w:t>ready carbon accounting systems, product</w:t>
      </w:r>
      <w:r w:rsidRPr="00050A55">
        <w:noBreakHyphen/>
        <w:t>level LCAs, and decarbonisation pathways will not only mitigate compliance risk but also strengthen competitive positioning in a carbon</w:t>
      </w:r>
      <w:r w:rsidRPr="00050A55">
        <w:noBreakHyphen/>
        <w:t>constrained global economy.</w:t>
      </w:r>
    </w:p>
    <w:p w14:paraId="3C4EFB57" w14:textId="2785A98B" w:rsidR="00BC35C3" w:rsidRDefault="00BC35C3"/>
    <w:p w14:paraId="3FBE9FFF" w14:textId="0355DA67" w:rsidR="0007093C" w:rsidRDefault="0007093C">
      <w:r>
        <w:t>Tony Wang</w:t>
      </w:r>
    </w:p>
    <w:p w14:paraId="44DC88BF" w14:textId="685909EE" w:rsidR="0007093C" w:rsidRDefault="0007093C">
      <w:r>
        <w:t xml:space="preserve">Alaya Consulting and Curator ESG GATE </w:t>
      </w:r>
    </w:p>
    <w:sectPr w:rsidR="000709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4E1"/>
    <w:multiLevelType w:val="multilevel"/>
    <w:tmpl w:val="3BF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D74BD"/>
    <w:multiLevelType w:val="multilevel"/>
    <w:tmpl w:val="A2A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6A1F"/>
    <w:multiLevelType w:val="multilevel"/>
    <w:tmpl w:val="F44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F1029"/>
    <w:multiLevelType w:val="multilevel"/>
    <w:tmpl w:val="3B8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42C3E"/>
    <w:multiLevelType w:val="multilevel"/>
    <w:tmpl w:val="E07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333BC"/>
    <w:multiLevelType w:val="multilevel"/>
    <w:tmpl w:val="D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474703">
    <w:abstractNumId w:val="3"/>
  </w:num>
  <w:num w:numId="2" w16cid:durableId="1695763334">
    <w:abstractNumId w:val="4"/>
  </w:num>
  <w:num w:numId="3" w16cid:durableId="1102645480">
    <w:abstractNumId w:val="2"/>
  </w:num>
  <w:num w:numId="4" w16cid:durableId="1690254413">
    <w:abstractNumId w:val="5"/>
  </w:num>
  <w:num w:numId="5" w16cid:durableId="1129473190">
    <w:abstractNumId w:val="0"/>
  </w:num>
  <w:num w:numId="6" w16cid:durableId="167425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5"/>
    <w:rsid w:val="00050A55"/>
    <w:rsid w:val="0007093C"/>
    <w:rsid w:val="00660AEE"/>
    <w:rsid w:val="00725481"/>
    <w:rsid w:val="00BC35C3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9FC1"/>
  <w15:chartTrackingRefBased/>
  <w15:docId w15:val="{EDF1AE59-93F3-4D9E-ADE3-0E26AE9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0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0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0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0A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0A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0A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0A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0A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0A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0A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0A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0A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0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0A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0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TonyWong</dc:creator>
  <cp:keywords/>
  <dc:description/>
  <cp:lastModifiedBy>Kristine Horbach</cp:lastModifiedBy>
  <cp:revision>3</cp:revision>
  <dcterms:created xsi:type="dcterms:W3CDTF">2026-02-11T06:44:00Z</dcterms:created>
  <dcterms:modified xsi:type="dcterms:W3CDTF">2026-06-22T03:14:00Z</dcterms:modified>
</cp:coreProperties>
</file>