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24059" w:val="clear"/>
            <w:tcMar>
              <w:top w:type="dxa" w:w="560"/>
              <w:left w:type="dxa" w:w="480"/>
              <w:bottom w:type="dxa" w:w="560"/>
              <w:right w:type="dxa" w:w="480"/>
            </w:tcMar>
          </w:tcPr>
          <w:p>
            <w:pPr>
              <w:spacing w:after="160"/>
            </w:pPr>
            <w:r>
              <w:rPr>
                <w:rFonts w:ascii="Arial" w:cs="Arial" w:eastAsia="Arial" w:hAnsi="Arial"/>
                <w:b/>
                <w:bCs/>
                <w:color w:val="7ABBCC"/>
                <w:sz w:val="18"/>
                <w:szCs w:val="18"/>
              </w:rPr>
              <w:t xml:space="preserve">FORMACIÓN PARA EMPRESAS</w:t>
            </w:r>
          </w:p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FFFFFF"/>
                <w:sz w:val="52"/>
                <w:szCs w:val="52"/>
              </w:rPr>
              <w:t xml:space="preserve">El coste del silencio</w:t>
            </w:r>
          </w:p>
          <w:p>
            <w:pPr>
              <w:spacing w:after="400"/>
            </w:pPr>
            <w:r>
              <w:rPr>
                <w:rFonts w:ascii="Arial" w:cs="Arial" w:eastAsia="Arial" w:hAnsi="Arial"/>
                <w:color w:val="d9a679"/>
                <w:sz w:val="28"/>
                <w:szCs w:val="28"/>
              </w:rPr>
              <w:t xml:space="preserve">Salud mental y bienestar en las empresas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i/>
                <w:iCs/>
                <w:color w:val="BBDDEE"/>
                <w:sz w:val="22"/>
                <w:szCs w:val="22"/>
              </w:rPr>
              <w:t xml:space="preserve">Cuando los equipos aguantan en silencio,</w:t>
            </w:r>
          </w:p>
          <w:p>
            <w:pPr>
              <w:spacing w:after="480"/>
            </w:pPr>
            <w:r>
              <w:rPr>
                <w:rFonts w:ascii="Arial" w:cs="Arial" w:eastAsia="Arial" w:hAnsi="Arial"/>
                <w:i/>
                <w:iCs/>
                <w:color w:val="BBDDEE"/>
                <w:sz w:val="22"/>
                <w:szCs w:val="22"/>
              </w:rPr>
              <w:t xml:space="preserve">el problema no desaparece 2014 se acumula hasta que explota.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Agustina González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7ABBCC"/>
                <w:sz w:val="18"/>
                <w:szCs w:val="18"/>
              </w:rPr>
              <w:t xml:space="preserve">Consultora de estrategia, productividad y bienestar para empresas</w:t>
            </w:r>
          </w:p>
        </w:tc>
      </w:tr>
    </w:tbl>
    <w:p>
      <w:pPr>
        <w:spacing w:before="600" w:after="400"/>
      </w:pPr>
      <w:r>
        <w:t xml:space="preserve"/>
      </w:r>
    </w:p>
    <w:p>
      <w:pPr>
        <w:pBdr>
          <w:bottom w:val="single" w:color="a65437" w:sz="8" w:space="4"/>
        </w:pBdr>
        <w:spacing w:before="400" w:after="120"/>
      </w:pPr>
      <w:r>
        <w:rPr>
          <w:rFonts w:ascii="Arial" w:cs="Arial" w:eastAsia="Arial" w:hAnsi="Arial"/>
          <w:b/>
          <w:bCs/>
          <w:color w:val="024059"/>
          <w:sz w:val="26"/>
          <w:szCs w:val="26"/>
        </w:rPr>
        <w:t xml:space="preserve">Sobre el curso</w:t>
      </w:r>
    </w:p>
    <w:p>
      <w:pPr>
        <w:spacing w:before="0" w:after="80"/>
      </w:pPr>
      <w:r>
        <w:t xml:space="preserve"/>
      </w:r>
    </w:p>
    <w:p>
      <w:pPr>
        <w:spacing w:before="60" w:after="18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El coste del silencio es un taller formativo sobre salud mental en el trabajo: no charlas motivacionales ni técnicas de relajación, sino comprensión real de por qué los equipos callan, aguantan y acaban rompiéndose. El objetivo es crear organizaciones donde hablar de salud mental no sea un tabú — y donde los problemas se atiendan antes de que se conviertan en bajas, rotación o pérdida de talento.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ebd3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24059"/>
                <w:sz w:val="20"/>
                <w:szCs w:val="20"/>
              </w:rPr>
              <w:t xml:space="preserve">Modalidad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Presencial · Híbrido · Online en directo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ebd3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24059"/>
                <w:sz w:val="20"/>
                <w:szCs w:val="20"/>
              </w:rPr>
              <w:t xml:space="preserve">Duración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6 horas (media jornada extendida) o 3 sesiones de 2h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ebd3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24059"/>
                <w:sz w:val="20"/>
                <w:szCs w:val="20"/>
              </w:rPr>
              <w:t xml:space="preserve">Participantes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Grupos de hasta 20 personas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ebd3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24059"/>
                <w:sz w:val="20"/>
                <w:szCs w:val="20"/>
              </w:rPr>
              <w:t xml:space="preserve">Nivel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Sin requisitos previos · Apto para todos los perfiles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ebd3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24059"/>
                <w:sz w:val="20"/>
                <w:szCs w:val="20"/>
              </w:rPr>
              <w:t xml:space="preserve">Bonificación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Bonificable por FUNDAE — categoría: salud laboral y bienestar</w:t>
            </w:r>
          </w:p>
        </w:tc>
      </w:tr>
    </w:tbl>
    <w:p>
      <w:pPr>
        <w:spacing w:before="400" w:after="0"/>
      </w:pPr>
      <w:r>
        <w:t xml:space="preserve"/>
      </w:r>
    </w:p>
    <w:p>
      <w:r>
        <w:br w:type="page"/>
      </w:r>
    </w:p>
    <w:p>
      <w:pPr>
        <w:pBdr>
          <w:bottom w:val="single" w:color="a65437" w:sz="8" w:space="4"/>
        </w:pBdr>
        <w:spacing w:before="400" w:after="120"/>
      </w:pPr>
      <w:r>
        <w:rPr>
          <w:rFonts w:ascii="Arial" w:cs="Arial" w:eastAsia="Arial" w:hAnsi="Arial"/>
          <w:b/>
          <w:bCs/>
          <w:color w:val="024059"/>
          <w:sz w:val="26"/>
          <w:szCs w:val="26"/>
        </w:rPr>
        <w:t xml:space="preserve">A quién va dirigido</w:t>
      </w:r>
    </w:p>
    <w:p>
      <w:pPr>
        <w:spacing w:before="0" w:after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Equipos con alta presión o carga sostenida en el tiempo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Empresas que han detectado señales de desgaste, absentismo o baja motivación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Organizaciones en proceso de cambio o reestructuración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Direcciones y RRHH que quieren implementar una política de bienestar real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Equipos híbridos o en remoto donde la desconexión es más difícil</w:t>
      </w:r>
    </w:p>
    <w:p>
      <w:pPr>
        <w:spacing w:before="240" w:after="0"/>
      </w:pPr>
      <w:r>
        <w:t xml:space="preserve"/>
      </w:r>
    </w:p>
    <w:p>
      <w:pPr>
        <w:pBdr>
          <w:bottom w:val="single" w:color="a65437" w:sz="8" w:space="4"/>
        </w:pBdr>
        <w:spacing w:before="400" w:after="120"/>
      </w:pPr>
      <w:r>
        <w:rPr>
          <w:rFonts w:ascii="Arial" w:cs="Arial" w:eastAsia="Arial" w:hAnsi="Arial"/>
          <w:b/>
          <w:bCs/>
          <w:color w:val="024059"/>
          <w:sz w:val="26"/>
          <w:szCs w:val="26"/>
        </w:rPr>
        <w:t xml:space="preserve">Qué se llevan los participantes</w:t>
      </w:r>
    </w:p>
    <w:p>
      <w:pPr>
        <w:spacing w:before="0" w:after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Comprensión del ciclo del estrés y cómo completarlo (no solo gestionarlo)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Capacidad para reconocer sus propias señales de alerta antes de llegar al límite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Herramientas concretas de recuperación y gestión emocional en el trabajo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Estrategias para establecer límites saludables sin culpa ni conflicto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Un plan de hábitos sostenibles que no depende de la fuerza de voluntad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Comprensión del papel del liderazgo en el bienestar del equipo</w:t>
      </w:r>
    </w:p>
    <w:p>
      <w:pPr>
        <w:spacing w:before="400" w:after="0"/>
      </w:pPr>
      <w:r>
        <w:t xml:space="preserve"/>
      </w:r>
    </w:p>
    <w:p>
      <w:pPr>
        <w:pBdr>
          <w:bottom w:val="single" w:color="a65437" w:sz="8" w:space="4"/>
        </w:pBdr>
        <w:spacing w:before="400" w:after="120"/>
      </w:pPr>
      <w:r>
        <w:rPr>
          <w:rFonts w:ascii="Arial" w:cs="Arial" w:eastAsia="Arial" w:hAnsi="Arial"/>
          <w:b/>
          <w:bCs/>
          <w:color w:val="024059"/>
          <w:sz w:val="26"/>
          <w:szCs w:val="26"/>
        </w:rPr>
        <w:t xml:space="preserve">Programa detallado</w:t>
      </w:r>
    </w:p>
    <w:p>
      <w:pPr>
        <w:spacing w:before="0" w:after="1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a65437" w:sz="1"/>
              <w:left w:val="single" w:color="a65437" w:sz="1"/>
              <w:bottom w:val="single" w:color="a65437" w:sz="1"/>
              <w:right w:val="single" w:color="a65437" w:sz="1"/>
            </w:tcBorders>
            <w:shd w:fill="a65437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color w:val="F5C4A8"/>
                <w:sz w:val="20"/>
                <w:szCs w:val="20"/>
              </w:rPr>
              <w:t xml:space="preserve">Módulo 1  ·  </w:t>
            </w: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Entender el estrés: cómo funciona de verdad</w:t>
            </w:r>
            <w:r>
              <w:rPr>
                <w:rFonts w:ascii="Arial" w:cs="Arial" w:eastAsia="Arial" w:hAnsi="Arial"/>
                <w:color w:val="F5C4A8"/>
                <w:sz w:val="18"/>
                <w:szCs w:val="18"/>
              </w:rPr>
              <w:t xml:space="preserve">  ·  90 min</w:t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a65437" w:sz="1"/>
            </w:tcBorders>
            <w:shd w:fill="F5F5F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a65437"/>
                <w:sz w:val="18"/>
                <w:szCs w:val="18"/>
              </w:rPr>
              <w:t xml:space="preserve">Objetivos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Desmitificar el estrés como enemigo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Comprender el ciclo estrés-recuperación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Identificar los detonantes propios</w:t>
            </w:r>
          </w:p>
        </w:tc>
        <w:tc>
          <w:tcPr>
            <w:tcW w:type="dxa" w:w="4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a65437"/>
                <w:sz w:val="18"/>
                <w:szCs w:val="18"/>
              </w:rPr>
              <w:t xml:space="preserve">Contenidos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Qué es el estrés y para qué sirve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El ciclo del estrés y por qué no se completa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Estrés agudo vs estrés crónico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Detonantes internos y externos en el trabajo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Diferencia entre rendimiento sostenible y sobreexigencia</w:t>
            </w:r>
          </w:p>
        </w:tc>
      </w:tr>
    </w:tbl>
    <w:p>
      <w:pPr>
        <w:spacing w:before="200" w:after="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a65437" w:sz="1"/>
              <w:left w:val="single" w:color="a65437" w:sz="1"/>
              <w:bottom w:val="single" w:color="a65437" w:sz="1"/>
              <w:right w:val="single" w:color="a65437" w:sz="1"/>
            </w:tcBorders>
            <w:shd w:fill="a65437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color w:val="F5C4A8"/>
                <w:sz w:val="20"/>
                <w:szCs w:val="20"/>
              </w:rPr>
              <w:t xml:space="preserve">Módulo 2  ·  </w:t>
            </w: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Señales de alerta y prevención del burnout</w:t>
            </w:r>
            <w:r>
              <w:rPr>
                <w:rFonts w:ascii="Arial" w:cs="Arial" w:eastAsia="Arial" w:hAnsi="Arial"/>
                <w:color w:val="F5C4A8"/>
                <w:sz w:val="18"/>
                <w:szCs w:val="18"/>
              </w:rPr>
              <w:t xml:space="preserve">  ·  60 min</w:t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a65437" w:sz="1"/>
            </w:tcBorders>
            <w:shd w:fill="F5F5F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a65437"/>
                <w:sz w:val="18"/>
                <w:szCs w:val="18"/>
              </w:rPr>
              <w:t xml:space="preserve">Objetivos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Reconocer el burnout antes de que llegue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Distinguir agotamiento de desmotivación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Actuar a tiempo, sin dramatizar</w:t>
            </w:r>
          </w:p>
        </w:tc>
        <w:tc>
          <w:tcPr>
            <w:tcW w:type="dxa" w:w="4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a65437"/>
                <w:sz w:val="18"/>
                <w:szCs w:val="18"/>
              </w:rPr>
              <w:t xml:space="preserve">Contenidos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Las tres dimensiones del burnout (Maslach)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Señales tempranas en uno mismo y en el equipo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El rol del entorno laboral en el desgaste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Qué hacer cuando se detectan señales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Cómo hablar de esto en el trabajo sin estigma</w:t>
            </w:r>
          </w:p>
        </w:tc>
      </w:tr>
    </w:tbl>
    <w:p>
      <w:pPr>
        <w:spacing w:before="200" w:after="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a65437" w:sz="1"/>
              <w:left w:val="single" w:color="a65437" w:sz="1"/>
              <w:bottom w:val="single" w:color="a65437" w:sz="1"/>
              <w:right w:val="single" w:color="a65437" w:sz="1"/>
            </w:tcBorders>
            <w:shd w:fill="a65437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color w:val="F5C4A8"/>
                <w:sz w:val="20"/>
                <w:szCs w:val="20"/>
              </w:rPr>
              <w:t xml:space="preserve">Módulo 3  ·  </w:t>
            </w: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Herramientas de recuperación y regulación</w:t>
            </w:r>
            <w:r>
              <w:rPr>
                <w:rFonts w:ascii="Arial" w:cs="Arial" w:eastAsia="Arial" w:hAnsi="Arial"/>
                <w:color w:val="F5C4A8"/>
                <w:sz w:val="18"/>
                <w:szCs w:val="18"/>
              </w:rPr>
              <w:t xml:space="preserve">  ·  90 min</w:t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a65437" w:sz="1"/>
            </w:tcBorders>
            <w:shd w:fill="F5F5F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a65437"/>
                <w:sz w:val="18"/>
                <w:szCs w:val="18"/>
              </w:rPr>
              <w:t xml:space="preserve">Objetivos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Incorporar herramientas de regulación accesibles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Construir rutinas de recuperación reales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Reducir la activación fuera del trabajo</w:t>
            </w:r>
          </w:p>
        </w:tc>
        <w:tc>
          <w:tcPr>
            <w:tcW w:type="dxa" w:w="4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a65437"/>
                <w:sz w:val="18"/>
                <w:szCs w:val="18"/>
              </w:rPr>
              <w:t xml:space="preserve">Contenidos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Respiración y regulación del sistema nervioso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Pausas activas que funcionan de verdad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Desconexión digital y límites con la disponibilidad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Movimiento, sueño y alimentación: lo básico que se olvida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Taller práctico: diseña tu rutina de recuperación</w:t>
            </w:r>
          </w:p>
        </w:tc>
      </w:tr>
    </w:tbl>
    <w:p>
      <w:pPr>
        <w:spacing w:before="200" w:after="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a65437" w:sz="1"/>
              <w:left w:val="single" w:color="a65437" w:sz="1"/>
              <w:bottom w:val="single" w:color="a65437" w:sz="1"/>
              <w:right w:val="single" w:color="a65437" w:sz="1"/>
            </w:tcBorders>
            <w:shd w:fill="a65437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color w:val="F5C4A8"/>
                <w:sz w:val="20"/>
                <w:szCs w:val="20"/>
              </w:rPr>
              <w:t xml:space="preserve">Módulo 4  ·  </w:t>
            </w: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Límites, cultura y liderazgo saludable</w:t>
            </w:r>
            <w:r>
              <w:rPr>
                <w:rFonts w:ascii="Arial" w:cs="Arial" w:eastAsia="Arial" w:hAnsi="Arial"/>
                <w:color w:val="F5C4A8"/>
                <w:sz w:val="18"/>
                <w:szCs w:val="18"/>
              </w:rPr>
              <w:t xml:space="preserve">  ·  60 min</w:t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a65437" w:sz="1"/>
            </w:tcBorders>
            <w:shd w:fill="F5F5F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a65437"/>
                <w:sz w:val="18"/>
                <w:szCs w:val="18"/>
              </w:rPr>
              <w:t xml:space="preserve">Objetivos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Establecer límites sin conflicto ni culpa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Entender cómo el liderazgo afecta el bienestar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Crear cultura de equipo que sostenga a las personas</w:t>
            </w:r>
          </w:p>
        </w:tc>
        <w:tc>
          <w:tcPr>
            <w:tcW w:type="dxa" w:w="4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a65437"/>
                <w:sz w:val="18"/>
                <w:szCs w:val="18"/>
              </w:rPr>
              <w:t xml:space="preserve">Contenidos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Cómo poner límites desde los valores, no desde el enfado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El coste del "sí" permanente en equipos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Liderazgo que protege vs liderazgo que agota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Conversaciones difíciles sobre bienestar en el trabajo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Compromisos colectivos de equipo</w:t>
            </w:r>
          </w:p>
        </w:tc>
      </w:tr>
    </w:tbl>
    <w:p>
      <w:pPr>
        <w:spacing w:before="200" w:after="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9a679" w:sz="1"/>
              <w:left w:val="single" w:color="d9a679" w:sz="1"/>
              <w:bottom w:val="single" w:color="d9a679" w:sz="1"/>
              <w:right w:val="single" w:color="d9a679" w:sz="1"/>
            </w:tcBorders>
            <w:shd w:fill="f2ebd3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024059"/>
                <w:sz w:val="20"/>
                <w:szCs w:val="20"/>
              </w:rPr>
              <w:t xml:space="preserve">Cierre y compromisos  ·  30 min</w:t>
            </w:r>
          </w:p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Reflexión grupal sobre aprendizajes del día. Cada participante define un compromiso concreto y sostenible para las dos semanas siguientes. Espacio de preguntas y cierre.</w:t>
            </w:r>
          </w:p>
        </w:tc>
      </w:tr>
    </w:tbl>
    <w:p>
      <w:pPr>
        <w:spacing w:before="400" w:after="0"/>
      </w:pPr>
      <w:r>
        <w:t xml:space="preserve"/>
      </w:r>
    </w:p>
    <w:p>
      <w:r>
        <w:br w:type="page"/>
      </w:r>
    </w:p>
    <w:p>
      <w:pPr>
        <w:pBdr>
          <w:bottom w:val="single" w:color="a65437" w:sz="8" w:space="4"/>
        </w:pBdr>
        <w:spacing w:before="400" w:after="120"/>
      </w:pPr>
      <w:r>
        <w:rPr>
          <w:rFonts w:ascii="Arial" w:cs="Arial" w:eastAsia="Arial" w:hAnsi="Arial"/>
          <w:b/>
          <w:bCs/>
          <w:color w:val="024059"/>
          <w:sz w:val="26"/>
          <w:szCs w:val="26"/>
        </w:rPr>
        <w:t xml:space="preserve">Metodología</w:t>
      </w:r>
    </w:p>
    <w:p>
      <w:pPr>
        <w:spacing w:before="0" w:after="100"/>
      </w:pPr>
      <w:r>
        <w:t xml:space="preserve"/>
      </w:r>
    </w:p>
    <w:p>
      <w:pPr>
        <w:spacing w:before="60" w:after="16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El taller combina base científica accesible, ejercicios de autoconocimiento y herramientas prácticas aplicables desde el día siguiente. El ambiente es seguro y sin juicio: bienestar es un tema sensible, y el espacio lo refleja. No se habla de "gestionar el estrés" como si fuera solo un problema de actitud — se trabaja el sistema completo.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Base científica clara y sin jerga: el conocimiento que cambia comportamientos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Ejercicios de autodiagnóstico: cada persona parte de su realidad concreta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Prácticas experienciales: respiración, movimiento, regulación — no solo teoría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Espacio de diálogo grupal: el equipo aprende también de sí mismo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Materiales de trabajo incluidos: guía descargable con herramientas y recursos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Opción de seguimiento: sesión de revisión a las 3–4 semanas (servicio adicional)</w:t>
      </w:r>
    </w:p>
    <w:p>
      <w:pPr>
        <w:spacing w:before="240" w:after="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a65437" w:sz="1"/>
              <w:left w:val="single" w:color="a65437" w:sz="16"/>
              <w:bottom w:val="single" w:color="a65437" w:sz="1"/>
              <w:right w:val="single" w:color="a65437" w:sz="1"/>
            </w:tcBorders>
            <w:shd w:fill="F5EAE4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a65437"/>
                <w:sz w:val="20"/>
                <w:szCs w:val="20"/>
              </w:rPr>
              <w:t xml:space="preserve">El argumento económico del bienestar</w:t>
            </w:r>
          </w:p>
          <w:p>
            <w:r>
              <w:rPr>
                <w:rFonts w:ascii="Arial" w:cs="Arial" w:eastAsia="Arial" w:hAnsi="Arial"/>
                <w:i/>
                <w:iCs/>
                <w:color w:val="444444"/>
                <w:sz w:val="20"/>
                <w:szCs w:val="20"/>
              </w:rPr>
              <w:t xml:space="preserve">El coste medio de una baja laboral por estrés o burnout en España oscila entre 3.000 y 15.000 € para la empresa, sumando sustitución, pérdida de productividad y coste de reincorporación. Este taller, bonificable por FUNDAE, cuesta una fracción de ese importe — y actúa antes de que el problema ocurra.</w:t>
            </w:r>
          </w:p>
        </w:tc>
      </w:tr>
    </w:tbl>
    <w:p>
      <w:pPr>
        <w:spacing w:before="400" w:after="0"/>
      </w:pPr>
      <w:r>
        <w:t xml:space="preserve"/>
      </w:r>
    </w:p>
    <w:p>
      <w:pPr>
        <w:pBdr>
          <w:bottom w:val="single" w:color="a65437" w:sz="8" w:space="4"/>
        </w:pBdr>
        <w:spacing w:before="400" w:after="120"/>
      </w:pPr>
      <w:r>
        <w:rPr>
          <w:rFonts w:ascii="Arial" w:cs="Arial" w:eastAsia="Arial" w:hAnsi="Arial"/>
          <w:b/>
          <w:bCs/>
          <w:color w:val="024059"/>
          <w:sz w:val="26"/>
          <w:szCs w:val="26"/>
        </w:rPr>
        <w:t xml:space="preserve">Inversión y bonificación FUNDAE</w:t>
      </w:r>
    </w:p>
    <w:p>
      <w:pPr>
        <w:spacing w:before="0" w:after="100"/>
      </w:pPr>
      <w:r>
        <w:t xml:space="preserve"/>
      </w:r>
    </w:p>
    <w:p>
      <w:pPr>
        <w:spacing w:before="60" w:after="20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Todas las modalidades son bonificables a través de FUNDAE. Las empresas disponen de un crédito anual de formación que pueden aplicar directamente al coste del taller. Las pymes de 1–9 empleados pueden bonificar hasta el 100% del importe — lo que convierte este taller en una inversión de coste casi cero para quien lo gestiona bien.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000"/>
        <w:gridCol w:w="2526"/>
        <w:gridCol w:w="2500"/>
      </w:tblGrid>
      <w:tr>
        <w:tc>
          <w:tcPr>
            <w:tcW w:type="dxa" w:w="2000"/>
            <w:tcBorders>
              <w:top w:val="single" w:color="a65437" w:sz="1"/>
              <w:left w:val="single" w:color="a65437" w:sz="1"/>
              <w:bottom w:val="single" w:color="a65437" w:sz="1"/>
              <w:right w:val="single" w:color="a65437" w:sz="1"/>
            </w:tcBorders>
            <w:shd w:fill="a6543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Modalidad</w:t>
            </w:r>
          </w:p>
        </w:tc>
        <w:tc>
          <w:tcPr>
            <w:tcW w:type="dxa" w:w="2000"/>
            <w:tcBorders>
              <w:top w:val="single" w:color="a65437" w:sz="1"/>
              <w:left w:val="single" w:color="a65437" w:sz="1"/>
              <w:bottom w:val="single" w:color="a65437" w:sz="1"/>
              <w:right w:val="single" w:color="a65437" w:sz="1"/>
            </w:tcBorders>
            <w:shd w:fill="a6543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Formato</w:t>
            </w:r>
          </w:p>
        </w:tc>
        <w:tc>
          <w:tcPr>
            <w:tcW w:type="dxa" w:w="2526"/>
            <w:tcBorders>
              <w:top w:val="single" w:color="a65437" w:sz="1"/>
              <w:left w:val="single" w:color="a65437" w:sz="1"/>
              <w:bottom w:val="single" w:color="a65437" w:sz="1"/>
              <w:right w:val="single" w:color="a65437" w:sz="1"/>
            </w:tcBorders>
            <w:shd w:fill="a6543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Precio orientativo</w:t>
            </w:r>
          </w:p>
        </w:tc>
        <w:tc>
          <w:tcPr>
            <w:tcW w:type="dxa" w:w="2500"/>
            <w:tcBorders>
              <w:top w:val="single" w:color="a65437" w:sz="1"/>
              <w:left w:val="single" w:color="a65437" w:sz="1"/>
              <w:bottom w:val="single" w:color="a65437" w:sz="1"/>
              <w:right w:val="single" w:color="a65437" w:sz="1"/>
            </w:tcBorders>
            <w:shd w:fill="a6543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Bonificación FUNDAE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Taller intensivo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1 jornada (6h)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desde 1.050 €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Hasta 100% (1–9 emp.)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3 sesiones de 2h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Tres sesiones online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desde 1.050 €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Hasta 75% (10–49 emp.)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Programa extendido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4 semanas · 8h total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desde 1.600 €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Bonificable por sesión</w:t>
            </w:r>
          </w:p>
        </w:tc>
      </w:tr>
    </w:tbl>
    <w:p>
      <w:pPr>
        <w:spacing w:before="200" w:after="0"/>
      </w:pPr>
      <w:r>
        <w:t xml:space="preserve"/>
      </w:r>
    </w:p>
    <w:p>
      <w:pPr>
        <w:spacing w:before="80" w:after="80"/>
      </w:pPr>
      <w:r>
        <w:rPr>
          <w:rFonts w:ascii="Arial" w:cs="Arial" w:eastAsia="Arial" w:hAnsi="Arial"/>
          <w:i/>
          <w:iCs/>
          <w:color w:val="777777"/>
          <w:sz w:val="18"/>
          <w:szCs w:val="18"/>
        </w:rPr>
        <w:t xml:space="preserve">* Precios sin IVA. Para grupos de más de 20 personas o programas a medida, consultar presupuesto personalizado.</w:t>
      </w:r>
    </w:p>
    <w:p>
      <w:pPr>
        <w:spacing w:before="40" w:after="200"/>
      </w:pPr>
      <w:r>
        <w:rPr>
          <w:rFonts w:ascii="Arial" w:cs="Arial" w:eastAsia="Arial" w:hAnsi="Arial"/>
          <w:i/>
          <w:iCs/>
          <w:color w:val="777777"/>
          <w:sz w:val="18"/>
          <w:szCs w:val="18"/>
        </w:rPr>
        <w:t xml:space="preserve">* La gestión de la bonificación FUNDAE se realiza en coordinación con la empresa cliente. Agustina González asesora en el proceso.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24059" w:val="clear"/>
            <w:tcMar>
              <w:top w:type="dxa" w:w="400"/>
              <w:left w:type="dxa" w:w="400"/>
              <w:bottom w:type="dxa" w:w="400"/>
              <w:right w:type="dxa" w:w="400"/>
            </w:tcMar>
          </w:tcPr>
          <w:p>
            <w:pPr>
              <w:spacing w:after="160"/>
            </w:pPr>
            <w:r>
              <w:rPr>
                <w:rFonts w:ascii="Arial" w:cs="Arial" w:eastAsia="Arial" w:hAnsi="Arial"/>
                <w:b/>
                <w:bCs/>
                <w:color w:val="d9a679"/>
                <w:sz w:val="22"/>
                <w:szCs w:val="22"/>
              </w:rPr>
              <w:t xml:space="preserve">Sobre Agustina González</w:t>
            </w:r>
          </w:p>
          <w:p>
            <w:pPr>
              <w:spacing w:after="200"/>
            </w:pPr>
            <w:r>
              <w:rPr>
                <w:rFonts w:ascii="Arial" w:cs="Arial" w:eastAsia="Arial" w:hAnsi="Arial"/>
                <w:color w:val="BBDDEE"/>
                <w:sz w:val="21"/>
                <w:szCs w:val="21"/>
              </w:rPr>
              <w:t xml:space="preserve">Consultora de estrategia, productividad y bienestar para empresas y emprendedores. Acompaña a equipos y líderes a encontrar claridad, foco y dirección en su trabajo — sin perder la esencia de lo que hacen.</w:t>
            </w:r>
          </w:p>
          <w:p>
            <w:r>
              <w:rPr>
                <w:rFonts w:ascii="Arial" w:cs="Arial" w:eastAsia="Arial" w:hAnsi="Arial"/>
                <w:b/>
                <w:bCs/>
                <w:color w:val="a65437"/>
                <w:sz w:val="20"/>
                <w:szCs w:val="20"/>
              </w:rPr>
              <w:t xml:space="preserve">agustinagonzalez.es</w:t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f2ebd3" w:sz="4" w:space="4"/>
      </w:pBdr>
      <w:spacing w:before="80"/>
      <w:jc w:val="center"/>
    </w:pPr>
    <w:r>
      <w:rPr>
        <w:rFonts w:ascii="Arial" w:cs="Arial" w:eastAsia="Arial" w:hAnsi="Arial"/>
        <w:color w:val="777777"/>
        <w:sz w:val="16"/>
        <w:szCs w:val="16"/>
      </w:rPr>
      <w:t xml:space="preserve">Agustina González Consultora  ·  Barcelona  ·  </w:t>
    </w:r>
    <w:r>
      <w:rPr>
        <w:rFonts w:ascii="Arial" w:cs="Arial" w:eastAsia="Arial" w:hAnsi="Arial"/>
        <w:color w:val="a65437"/>
        <w:sz w:val="16"/>
        <w:szCs w:val="16"/>
      </w:rPr>
      <w:t xml:space="preserve">agustinagonzalez.es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02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6000"/>
      <w:gridCol w:w="3026"/>
    </w:tblGrid>
    <w:tr>
      <w:tc>
        <w:tcPr>
          <w:tcW w:type="dxa" w:w="600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0"/>
            <w:left w:type="dxa" w:w="0"/>
            <w:bottom w:type="dxa" w:w="0"/>
            <w:right w:type="dxa" w:w="0"/>
          </w:tcMar>
        </w:tcPr>
        <w:p>
          <w:r>
            <w:rPr>
              <w:rFonts w:ascii="Arial" w:cs="Arial" w:eastAsia="Arial" w:hAnsi="Arial"/>
              <w:b/>
              <w:bCs/>
              <w:color w:val="a65437"/>
              <w:sz w:val="18"/>
              <w:szCs w:val="18"/>
            </w:rPr>
            <w:t xml:space="preserve">El coste del silencio</w:t>
          </w:r>
        </w:p>
      </w:tc>
      <w:tc>
        <w:tcPr>
          <w:tcW w:type="dxa" w:w="3026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0"/>
            <w:left w:type="dxa" w:w="0"/>
            <w:bottom w:type="dxa" w:w="0"/>
            <w:right w:type="dxa" w:w="0"/>
          </w:tcMar>
        </w:tcPr>
        <w:p>
          <w:pPr>
            <w:jc w:val="right"/>
          </w:pPr>
          <w:r>
            <w:rPr>
              <w:rFonts w:ascii="Arial" w:cs="Arial" w:eastAsia="Arial" w:hAnsi="Arial"/>
              <w:color w:val="777777"/>
              <w:sz w:val="16"/>
              <w:szCs w:val="16"/>
            </w:rPr>
            <w:t xml:space="preserve">agustinagonzalez.es</w:t>
          </w:r>
        </w:p>
      </w:tc>
    </w:tr>
  </w:tbl>
  <w:p>
    <w:pPr>
      <w:pBdr>
        <w:bottom w:val="single" w:color="a65437" w:sz="4" w:space="4"/>
      </w:pBdr>
      <w:spacing w:after="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200"/>
      <w:outlineLvl w:val="0"/>
    </w:pPr>
    <w:rPr>
      <w:rFonts w:ascii="Arial" w:cs="Arial" w:eastAsia="Arial" w:hAnsi="Arial"/>
      <w:b/>
      <w:bCs/>
      <w:color w:val="024059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2026-03-25T07:44:55.171Z</dcterms:created>
  <dcterms:modified xsi:type="dcterms:W3CDTF">2026-03-25T07:44:55.172Z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