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24059" w:val="clear"/>
            <w:tcMar>
              <w:top w:type="dxa" w:w="560"/>
              <w:left w:type="dxa" w:w="480"/>
              <w:bottom w:type="dxa" w:w="560"/>
              <w:right w:type="dxa" w:w="480"/>
            </w:tcMar>
          </w:tcPr>
          <w:p>
            <w:pPr>
              <w:spacing w:after="160"/>
            </w:pPr>
            <w:r>
              <w:rPr>
                <w:rFonts w:ascii="Arial" w:cs="Arial" w:eastAsia="Arial" w:hAnsi="Arial"/>
                <w:b/>
                <w:bCs/>
                <w:color w:val="7ABBCC"/>
                <w:sz w:val="18"/>
                <w:szCs w:val="18"/>
              </w:rPr>
              <w:t xml:space="preserve">FORMACIÓN PARA EMPRESAS</w:t>
            </w:r>
          </w:p>
          <w:p>
            <w:pPr>
              <w:spacing w:after="120"/>
            </w:pPr>
            <w:r>
              <w:rPr>
                <w:rFonts w:ascii="Arial" w:cs="Arial" w:eastAsia="Arial" w:hAnsi="Arial"/>
                <w:b/>
                <w:bCs/>
                <w:color w:val="FFFFFF"/>
                <w:sz w:val="52"/>
                <w:szCs w:val="52"/>
              </w:rPr>
              <w:t xml:space="preserve">Del caos al foco</w:t>
            </w:r>
          </w:p>
          <w:p>
            <w:pPr>
              <w:spacing w:after="400"/>
            </w:pPr>
            <w:r>
              <w:rPr>
                <w:rFonts w:ascii="Arial" w:cs="Arial" w:eastAsia="Arial" w:hAnsi="Arial"/>
                <w:color w:val="d9a679"/>
                <w:sz w:val="28"/>
                <w:szCs w:val="28"/>
              </w:rPr>
              <w:t xml:space="preserve">Gestión del tiempo y la energía para equipos</w:t>
            </w:r>
          </w:p>
          <w:p>
            <w:pPr>
              <w:spacing w:after="60"/>
            </w:pPr>
            <w:r>
              <w:rPr>
                <w:rFonts w:ascii="Arial" w:cs="Arial" w:eastAsia="Arial" w:hAnsi="Arial"/>
                <w:i/>
                <w:iCs/>
                <w:color w:val="BBDDEE"/>
                <w:sz w:val="22"/>
                <w:szCs w:val="22"/>
              </w:rPr>
              <w:t xml:space="preserve">Cuando el problema no es la falta de horas,</w:t>
            </w:r>
          </w:p>
          <w:p>
            <w:pPr>
              <w:spacing w:after="480"/>
            </w:pPr>
            <w:r>
              <w:rPr>
                <w:rFonts w:ascii="Arial" w:cs="Arial" w:eastAsia="Arial" w:hAnsi="Arial"/>
                <w:i/>
                <w:iCs/>
                <w:color w:val="BBDDEE"/>
                <w:sz w:val="22"/>
                <w:szCs w:val="22"/>
              </w:rPr>
              <w:t xml:space="preserve">sino la falta de claridad sobre cómo usarlas.</w:t>
            </w:r>
          </w:p>
          <w:p>
            <w:pPr>
              <w:spacing w:after="40"/>
            </w:pPr>
            <w:r>
              <w:rPr>
                <w:rFonts w:ascii="Arial" w:cs="Arial" w:eastAsia="Arial" w:hAnsi="Arial"/>
                <w:b/>
                <w:bCs/>
                <w:color w:val="FFFFFF"/>
                <w:sz w:val="20"/>
                <w:szCs w:val="20"/>
              </w:rPr>
              <w:t xml:space="preserve">Agustina González</w:t>
            </w:r>
          </w:p>
          <w:p>
            <w:pPr>
              <w:spacing w:after="0"/>
            </w:pPr>
            <w:r>
              <w:rPr>
                <w:rFonts w:ascii="Arial" w:cs="Arial" w:eastAsia="Arial" w:hAnsi="Arial"/>
                <w:color w:val="7ABBCC"/>
                <w:sz w:val="18"/>
                <w:szCs w:val="18"/>
              </w:rPr>
              <w:t xml:space="preserve">Consultora de estrategia, productividad y bienestar para empresas</w:t>
            </w:r>
          </w:p>
        </w:tc>
      </w:tr>
    </w:tbl>
    <w:p>
      <w:pPr>
        <w:spacing w:before="600" w:after="400"/>
      </w:pPr>
      <w:r>
        <w:t xml:space="preserve"/>
      </w:r>
    </w:p>
    <w:p>
      <w:pPr>
        <w:pBdr>
          <w:bottom w:val="single" w:color="4e9da6" w:sz="8" w:space="4"/>
        </w:pBdr>
        <w:spacing w:before="400" w:after="120"/>
      </w:pPr>
      <w:r>
        <w:rPr>
          <w:rFonts w:ascii="Arial" w:cs="Arial" w:eastAsia="Arial" w:hAnsi="Arial"/>
          <w:b/>
          <w:bCs/>
          <w:color w:val="024059"/>
          <w:sz w:val="26"/>
          <w:szCs w:val="26"/>
        </w:rPr>
        <w:t xml:space="preserve">Sobre el curso</w:t>
      </w:r>
    </w:p>
    <w:p>
      <w:pPr>
        <w:spacing w:before="0" w:after="80"/>
      </w:pPr>
      <w:r>
        <w:t xml:space="preserve"/>
      </w:r>
    </w:p>
    <w:p>
      <w:pPr>
        <w:spacing w:before="60" w:after="180"/>
      </w:pPr>
      <w:r>
        <w:rPr>
          <w:rFonts w:ascii="Arial" w:cs="Arial" w:eastAsia="Arial" w:hAnsi="Arial"/>
          <w:color w:val="444444"/>
          <w:sz w:val="22"/>
          <w:szCs w:val="22"/>
        </w:rPr>
        <w:t xml:space="preserve">Del caos al foco es un taller formativo diseñado para equipos y profesionales que sienten que el día se les escapa sin haber avanzado en lo que realmente importa. No es un curso de técnicas de productividad al uso. Es un proceso de diagnóstico, reflexión y sistema: cada participante sale con un método propio, adaptado a su realidad y puesto en práctica desde el primer día.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2ebd3" w:val="clear"/>
            <w:tcMar>
              <w:top w:type="dxa" w:w="80"/>
              <w:left w:type="dxa" w:w="140"/>
              <w:bottom w:type="dxa" w:w="80"/>
              <w:right w:type="dxa" w:w="140"/>
            </w:tcMar>
          </w:tcPr>
          <w:p>
            <w:r>
              <w:rPr>
                <w:rFonts w:ascii="Arial" w:cs="Arial" w:eastAsia="Arial" w:hAnsi="Arial"/>
                <w:b/>
                <w:bCs/>
                <w:color w:val="024059"/>
                <w:sz w:val="20"/>
                <w:szCs w:val="20"/>
              </w:rPr>
              <w:t xml:space="preserve">Modalidad</w:t>
            </w:r>
          </w:p>
        </w:tc>
        <w:tc>
          <w:tcPr>
            <w:tcW w:type="dxa" w:w="62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Presencial · Híbrido · Online en directo</w:t>
            </w:r>
          </w:p>
        </w:tc>
      </w:tr>
      <w:tr>
        <w:tc>
          <w:tcPr>
            <w:tcW w:type="dxa" w:w="2800"/>
            <w:tcBorders>
              <w:top w:val="single" w:color="CCCCCC" w:sz="1"/>
              <w:left w:val="single" w:color="CCCCCC" w:sz="1"/>
              <w:bottom w:val="single" w:color="CCCCCC" w:sz="1"/>
              <w:right w:val="single" w:color="CCCCCC" w:sz="1"/>
            </w:tcBorders>
            <w:shd w:fill="f2ebd3" w:val="clear"/>
            <w:tcMar>
              <w:top w:type="dxa" w:w="80"/>
              <w:left w:type="dxa" w:w="140"/>
              <w:bottom w:type="dxa" w:w="80"/>
              <w:right w:type="dxa" w:w="140"/>
            </w:tcMar>
          </w:tcPr>
          <w:p>
            <w:r>
              <w:rPr>
                <w:rFonts w:ascii="Arial" w:cs="Arial" w:eastAsia="Arial" w:hAnsi="Arial"/>
                <w:b/>
                <w:bCs/>
                <w:color w:val="024059"/>
                <w:sz w:val="20"/>
                <w:szCs w:val="20"/>
              </w:rPr>
              <w:t xml:space="preserve">Duración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8 horas (jornada completa) o 2 sesiones de 4h</w:t>
            </w:r>
          </w:p>
        </w:tc>
      </w:tr>
      <w:tr>
        <w:tc>
          <w:tcPr>
            <w:tcW w:type="dxa" w:w="2800"/>
            <w:tcBorders>
              <w:top w:val="single" w:color="CCCCCC" w:sz="1"/>
              <w:left w:val="single" w:color="CCCCCC" w:sz="1"/>
              <w:bottom w:val="single" w:color="CCCCCC" w:sz="1"/>
              <w:right w:val="single" w:color="CCCCCC" w:sz="1"/>
            </w:tcBorders>
            <w:shd w:fill="f2ebd3" w:val="clear"/>
            <w:tcMar>
              <w:top w:type="dxa" w:w="80"/>
              <w:left w:type="dxa" w:w="140"/>
              <w:bottom w:type="dxa" w:w="80"/>
              <w:right w:type="dxa" w:w="140"/>
            </w:tcMar>
          </w:tcPr>
          <w:p>
            <w:r>
              <w:rPr>
                <w:rFonts w:ascii="Arial" w:cs="Arial" w:eastAsia="Arial" w:hAnsi="Arial"/>
                <w:b/>
                <w:bCs/>
                <w:color w:val="024059"/>
                <w:sz w:val="20"/>
                <w:szCs w:val="20"/>
              </w:rPr>
              <w:t xml:space="preserve">Participantes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Grupos de hasta 15 personas</w:t>
            </w:r>
          </w:p>
        </w:tc>
      </w:tr>
      <w:tr>
        <w:tc>
          <w:tcPr>
            <w:tcW w:type="dxa" w:w="2800"/>
            <w:tcBorders>
              <w:top w:val="single" w:color="CCCCCC" w:sz="1"/>
              <w:left w:val="single" w:color="CCCCCC" w:sz="1"/>
              <w:bottom w:val="single" w:color="CCCCCC" w:sz="1"/>
              <w:right w:val="single" w:color="CCCCCC" w:sz="1"/>
            </w:tcBorders>
            <w:shd w:fill="f2ebd3" w:val="clear"/>
            <w:tcMar>
              <w:top w:type="dxa" w:w="80"/>
              <w:left w:type="dxa" w:w="140"/>
              <w:bottom w:type="dxa" w:w="80"/>
              <w:right w:type="dxa" w:w="140"/>
            </w:tcMar>
          </w:tcPr>
          <w:p>
            <w:r>
              <w:rPr>
                <w:rFonts w:ascii="Arial" w:cs="Arial" w:eastAsia="Arial" w:hAnsi="Arial"/>
                <w:b/>
                <w:bCs/>
                <w:color w:val="024059"/>
                <w:sz w:val="20"/>
                <w:szCs w:val="20"/>
              </w:rPr>
              <w:t xml:space="preserve">Nivel</w:t>
            </w:r>
          </w:p>
        </w:tc>
        <w:tc>
          <w:tcPr>
            <w:tcW w:type="dxa" w:w="62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Sin requisitos previos · Apto para todos los perfiles</w:t>
            </w:r>
          </w:p>
        </w:tc>
      </w:tr>
      <w:tr>
        <w:tc>
          <w:tcPr>
            <w:tcW w:type="dxa" w:w="2800"/>
            <w:tcBorders>
              <w:top w:val="single" w:color="CCCCCC" w:sz="1"/>
              <w:left w:val="single" w:color="CCCCCC" w:sz="1"/>
              <w:bottom w:val="single" w:color="CCCCCC" w:sz="1"/>
              <w:right w:val="single" w:color="CCCCCC" w:sz="1"/>
            </w:tcBorders>
            <w:shd w:fill="f2ebd3" w:val="clear"/>
            <w:tcMar>
              <w:top w:type="dxa" w:w="80"/>
              <w:left w:type="dxa" w:w="140"/>
              <w:bottom w:type="dxa" w:w="80"/>
              <w:right w:type="dxa" w:w="140"/>
            </w:tcMar>
          </w:tcPr>
          <w:p>
            <w:r>
              <w:rPr>
                <w:rFonts w:ascii="Arial" w:cs="Arial" w:eastAsia="Arial" w:hAnsi="Arial"/>
                <w:b/>
                <w:bCs/>
                <w:color w:val="024059"/>
                <w:sz w:val="20"/>
                <w:szCs w:val="20"/>
              </w:rPr>
              <w:t xml:space="preserve">Bonificación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Bonificable por FUNDAE — categoría: organización y productividad personal</w:t>
            </w:r>
          </w:p>
        </w:tc>
      </w:tr>
    </w:tbl>
    <w:p>
      <w:pPr>
        <w:spacing w:before="400" w:after="0"/>
      </w:pPr>
      <w:r>
        <w:t xml:space="preserve"/>
      </w:r>
    </w:p>
    <w:p>
      <w:r>
        <w:br w:type="page"/>
      </w:r>
    </w:p>
    <w:p>
      <w:pPr>
        <w:pBdr>
          <w:bottom w:val="single" w:color="4e9da6" w:sz="8" w:space="4"/>
        </w:pBdr>
        <w:spacing w:before="400" w:after="120"/>
      </w:pPr>
      <w:r>
        <w:rPr>
          <w:rFonts w:ascii="Arial" w:cs="Arial" w:eastAsia="Arial" w:hAnsi="Arial"/>
          <w:b/>
          <w:bCs/>
          <w:color w:val="024059"/>
          <w:sz w:val="26"/>
          <w:szCs w:val="26"/>
        </w:rPr>
        <w:t xml:space="preserve">A quién va dirigido</w:t>
      </w:r>
    </w:p>
    <w:p>
      <w:pPr>
        <w:spacing w:before="0" w:after="80"/>
      </w:pPr>
      <w:r>
        <w:t xml:space="preserve"/>
      </w:r>
    </w:p>
    <w:p>
      <w:pPr>
        <w:pStyle w:val="ListParagraph"/>
        <w:numPr>
          <w:ilvl w:val="0"/>
          <w:numId w:val="2"/>
        </w:numPr>
        <w:spacing w:before="40" w:after="40"/>
      </w:pPr>
      <w:r>
        <w:rPr>
          <w:rFonts w:ascii="Arial" w:cs="Arial" w:eastAsia="Arial" w:hAnsi="Arial"/>
          <w:b w:val="false"/>
          <w:bCs w:val="false"/>
          <w:color w:val="444444"/>
          <w:sz w:val="22"/>
          <w:szCs w:val="22"/>
        </w:rPr>
        <w:t xml:space="preserve">Equipos con alta carga de trabajo que sienten que "no llegan" a todo</w:t>
      </w:r>
    </w:p>
    <w:p>
      <w:pPr>
        <w:pStyle w:val="ListParagraph"/>
        <w:numPr>
          <w:ilvl w:val="0"/>
          <w:numId w:val="2"/>
        </w:numPr>
        <w:spacing w:before="40" w:after="40"/>
      </w:pPr>
      <w:r>
        <w:rPr>
          <w:rFonts w:ascii="Arial" w:cs="Arial" w:eastAsia="Arial" w:hAnsi="Arial"/>
          <w:b w:val="false"/>
          <w:bCs w:val="false"/>
          <w:color w:val="444444"/>
          <w:sz w:val="22"/>
          <w:szCs w:val="22"/>
        </w:rPr>
        <w:t xml:space="preserve">Profesionales que trabajan en entornos de múltiples tareas simultáneas</w:t>
      </w:r>
    </w:p>
    <w:p>
      <w:pPr>
        <w:pStyle w:val="ListParagraph"/>
        <w:numPr>
          <w:ilvl w:val="0"/>
          <w:numId w:val="2"/>
        </w:numPr>
        <w:spacing w:before="40" w:after="40"/>
      </w:pPr>
      <w:r>
        <w:rPr>
          <w:rFonts w:ascii="Arial" w:cs="Arial" w:eastAsia="Arial" w:hAnsi="Arial"/>
          <w:b w:val="false"/>
          <w:bCs w:val="false"/>
          <w:color w:val="444444"/>
          <w:sz w:val="22"/>
          <w:szCs w:val="22"/>
        </w:rPr>
        <w:t xml:space="preserve">Mandos intermedios que gestionan su tiempo y el de su equipo</w:t>
      </w:r>
    </w:p>
    <w:p>
      <w:pPr>
        <w:pStyle w:val="ListParagraph"/>
        <w:numPr>
          <w:ilvl w:val="0"/>
          <w:numId w:val="2"/>
        </w:numPr>
        <w:spacing w:before="40" w:after="40"/>
      </w:pPr>
      <w:r>
        <w:rPr>
          <w:rFonts w:ascii="Arial" w:cs="Arial" w:eastAsia="Arial" w:hAnsi="Arial"/>
          <w:b w:val="false"/>
          <w:bCs w:val="false"/>
          <w:color w:val="444444"/>
          <w:sz w:val="22"/>
          <w:szCs w:val="22"/>
        </w:rPr>
        <w:t xml:space="preserve">Empresas que quieren reducir el estrés por saturación y mejorar el foco colectivo</w:t>
      </w:r>
    </w:p>
    <w:p>
      <w:pPr>
        <w:pStyle w:val="ListParagraph"/>
        <w:numPr>
          <w:ilvl w:val="0"/>
          <w:numId w:val="2"/>
        </w:numPr>
        <w:spacing w:before="40" w:after="40"/>
      </w:pPr>
      <w:r>
        <w:rPr>
          <w:rFonts w:ascii="Arial" w:cs="Arial" w:eastAsia="Arial" w:hAnsi="Arial"/>
          <w:b w:val="false"/>
          <w:bCs w:val="false"/>
          <w:color w:val="444444"/>
          <w:sz w:val="22"/>
          <w:szCs w:val="22"/>
        </w:rPr>
        <w:t xml:space="preserve">Organizaciones en proceso de cambio o reorganización</w:t>
      </w:r>
    </w:p>
    <w:p>
      <w:pPr>
        <w:spacing w:before="240" w:after="0"/>
      </w:pPr>
      <w:r>
        <w:t xml:space="preserve"/>
      </w:r>
    </w:p>
    <w:p>
      <w:pPr>
        <w:pBdr>
          <w:bottom w:val="single" w:color="4e9da6" w:sz="8" w:space="4"/>
        </w:pBdr>
        <w:spacing w:before="400" w:after="120"/>
      </w:pPr>
      <w:r>
        <w:rPr>
          <w:rFonts w:ascii="Arial" w:cs="Arial" w:eastAsia="Arial" w:hAnsi="Arial"/>
          <w:b/>
          <w:bCs/>
          <w:color w:val="024059"/>
          <w:sz w:val="26"/>
          <w:szCs w:val="26"/>
        </w:rPr>
        <w:t xml:space="preserve">Qué se llevan los participantes</w:t>
      </w:r>
    </w:p>
    <w:p>
      <w:pPr>
        <w:spacing w:before="0" w:after="80"/>
      </w:pPr>
      <w:r>
        <w:t xml:space="preserve"/>
      </w:r>
    </w:p>
    <w:p>
      <w:pPr>
        <w:pStyle w:val="ListParagraph"/>
        <w:numPr>
          <w:ilvl w:val="0"/>
          <w:numId w:val="2"/>
        </w:numPr>
        <w:spacing w:before="40" w:after="40"/>
      </w:pPr>
      <w:r>
        <w:rPr>
          <w:rFonts w:ascii="Arial" w:cs="Arial" w:eastAsia="Arial" w:hAnsi="Arial"/>
          <w:b w:val="false"/>
          <w:bCs w:val="false"/>
          <w:color w:val="444444"/>
          <w:sz w:val="22"/>
          <w:szCs w:val="22"/>
        </w:rPr>
        <w:t xml:space="preserve">Un diagnóstico personal de sus ladrones de tiempo y patrones de saturación</w:t>
      </w:r>
    </w:p>
    <w:p>
      <w:pPr>
        <w:pStyle w:val="ListParagraph"/>
        <w:numPr>
          <w:ilvl w:val="0"/>
          <w:numId w:val="2"/>
        </w:numPr>
        <w:spacing w:before="40" w:after="40"/>
      </w:pPr>
      <w:r>
        <w:rPr>
          <w:rFonts w:ascii="Arial" w:cs="Arial" w:eastAsia="Arial" w:hAnsi="Arial"/>
          <w:b w:val="false"/>
          <w:bCs w:val="false"/>
          <w:color w:val="444444"/>
          <w:sz w:val="22"/>
          <w:szCs w:val="22"/>
        </w:rPr>
        <w:t xml:space="preserve">Un sistema de organización propio y aplicable desde el día siguiente</w:t>
      </w:r>
    </w:p>
    <w:p>
      <w:pPr>
        <w:pStyle w:val="ListParagraph"/>
        <w:numPr>
          <w:ilvl w:val="0"/>
          <w:numId w:val="2"/>
        </w:numPr>
        <w:spacing w:before="40" w:after="40"/>
      </w:pPr>
      <w:r>
        <w:rPr>
          <w:rFonts w:ascii="Arial" w:cs="Arial" w:eastAsia="Arial" w:hAnsi="Arial"/>
          <w:b w:val="false"/>
          <w:bCs w:val="false"/>
          <w:color w:val="444444"/>
          <w:sz w:val="22"/>
          <w:szCs w:val="22"/>
        </w:rPr>
        <w:t xml:space="preserve">Herramientas de priorización adaptadas a su tipo de trabajo y contexto</w:t>
      </w:r>
    </w:p>
    <w:p>
      <w:pPr>
        <w:pStyle w:val="ListParagraph"/>
        <w:numPr>
          <w:ilvl w:val="0"/>
          <w:numId w:val="2"/>
        </w:numPr>
        <w:spacing w:before="40" w:after="40"/>
      </w:pPr>
      <w:r>
        <w:rPr>
          <w:rFonts w:ascii="Arial" w:cs="Arial" w:eastAsia="Arial" w:hAnsi="Arial"/>
          <w:b w:val="false"/>
          <w:bCs w:val="false"/>
          <w:color w:val="444444"/>
          <w:sz w:val="22"/>
          <w:szCs w:val="22"/>
        </w:rPr>
        <w:t xml:space="preserve">Estrategias para gestionar la carga mental y reducir la sensación de urgencia permanente</w:t>
      </w:r>
    </w:p>
    <w:p>
      <w:pPr>
        <w:pStyle w:val="ListParagraph"/>
        <w:numPr>
          <w:ilvl w:val="0"/>
          <w:numId w:val="2"/>
        </w:numPr>
        <w:spacing w:before="40" w:after="40"/>
      </w:pPr>
      <w:r>
        <w:rPr>
          <w:rFonts w:ascii="Arial" w:cs="Arial" w:eastAsia="Arial" w:hAnsi="Arial"/>
          <w:b w:val="false"/>
          <w:bCs w:val="false"/>
          <w:color w:val="444444"/>
          <w:sz w:val="22"/>
          <w:szCs w:val="22"/>
        </w:rPr>
        <w:t xml:space="preserve">Un plan de acción concreto para las dos semanas siguientes al taller</w:t>
      </w:r>
    </w:p>
    <w:p>
      <w:pPr>
        <w:spacing w:before="400" w:after="0"/>
      </w:pPr>
      <w:r>
        <w:t xml:space="preserve"/>
      </w:r>
    </w:p>
    <w:p>
      <w:pPr>
        <w:pBdr>
          <w:bottom w:val="single" w:color="4e9da6" w:sz="8" w:space="4"/>
        </w:pBdr>
        <w:spacing w:before="400" w:after="120"/>
      </w:pPr>
      <w:r>
        <w:rPr>
          <w:rFonts w:ascii="Arial" w:cs="Arial" w:eastAsia="Arial" w:hAnsi="Arial"/>
          <w:b/>
          <w:bCs/>
          <w:color w:val="024059"/>
          <w:sz w:val="26"/>
          <w:szCs w:val="26"/>
        </w:rPr>
        <w:t xml:space="preserve">Programa detallado</w:t>
      </w:r>
    </w:p>
    <w:p>
      <w:pPr>
        <w:spacing w:before="0"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24059" w:sz="1"/>
              <w:left w:val="single" w:color="024059" w:sz="1"/>
              <w:bottom w:val="single" w:color="024059" w:sz="1"/>
              <w:right w:val="single" w:color="024059" w:sz="1"/>
            </w:tcBorders>
            <w:shd w:fill="024059" w:val="clear"/>
            <w:tcMar>
              <w:top w:type="dxa" w:w="120"/>
              <w:left w:type="dxa" w:w="160"/>
              <w:bottom w:type="dxa" w:w="120"/>
              <w:right w:type="dxa" w:w="160"/>
            </w:tcMar>
          </w:tcPr>
          <w:p>
            <w:r>
              <w:rPr>
                <w:rFonts w:ascii="Arial" w:cs="Arial" w:eastAsia="Arial" w:hAnsi="Arial"/>
                <w:color w:val="AACCDD"/>
                <w:sz w:val="20"/>
                <w:szCs w:val="20"/>
              </w:rPr>
              <w:t xml:space="preserve">Módulo 1  ·  </w:t>
            </w:r>
            <w:r>
              <w:rPr>
                <w:rFonts w:ascii="Arial" w:cs="Arial" w:eastAsia="Arial" w:hAnsi="Arial"/>
                <w:b/>
                <w:bCs/>
                <w:color w:val="FFFFFF"/>
                <w:sz w:val="22"/>
                <w:szCs w:val="22"/>
              </w:rPr>
              <w:t xml:space="preserve">Diagnóstico: ¿dónde se va mi tiempo?</w:t>
            </w:r>
            <w:r>
              <w:rPr>
                <w:rFonts w:ascii="Arial" w:cs="Arial" w:eastAsia="Arial" w:hAnsi="Arial"/>
                <w:color w:val="AACCDD"/>
                <w:sz w:val="18"/>
                <w:szCs w:val="18"/>
              </w:rPr>
              <w:t xml:space="preserve">  ·  90 min</w:t>
            </w:r>
          </w:p>
        </w:tc>
      </w:tr>
      <w:tr>
        <w:tc>
          <w:tcPr>
            <w:tcW w:type="dxa" w:w="4200"/>
            <w:tcBorders>
              <w:top w:val="single" w:color="CCCCCC" w:sz="1"/>
              <w:left w:val="single" w:color="CCCCCC" w:sz="1"/>
              <w:bottom w:val="single" w:color="CCCCCC" w:sz="1"/>
              <w:right w:val="single" w:color="4e9da6" w:sz="1"/>
            </w:tcBorders>
            <w:shd w:fill="F5F5F0"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Objetivos</w:t>
            </w:r>
          </w:p>
          <w:p>
            <w:pPr>
              <w:pStyle w:val="ListParagraph"/>
              <w:numPr>
                <w:ilvl w:val="0"/>
                <w:numId w:val="2"/>
              </w:numPr>
              <w:spacing w:before="20" w:after="20"/>
            </w:pPr>
            <w:r>
              <w:rPr>
                <w:rFonts w:ascii="Arial" w:cs="Arial" w:eastAsia="Arial" w:hAnsi="Arial"/>
                <w:color w:val="444444"/>
                <w:sz w:val="20"/>
                <w:szCs w:val="20"/>
              </w:rPr>
              <w:t xml:space="preserve">Identificar patrones de uso del tiempo</w:t>
            </w:r>
          </w:p>
          <w:p>
            <w:pPr>
              <w:pStyle w:val="ListParagraph"/>
              <w:numPr>
                <w:ilvl w:val="0"/>
                <w:numId w:val="2"/>
              </w:numPr>
              <w:spacing w:before="20" w:after="20"/>
            </w:pPr>
            <w:r>
              <w:rPr>
                <w:rFonts w:ascii="Arial" w:cs="Arial" w:eastAsia="Arial" w:hAnsi="Arial"/>
                <w:color w:val="444444"/>
                <w:sz w:val="20"/>
                <w:szCs w:val="20"/>
              </w:rPr>
              <w:t xml:space="preserve">Reconocer ladrones internos y externos</w:t>
            </w:r>
          </w:p>
          <w:p>
            <w:pPr>
              <w:pStyle w:val="ListParagraph"/>
              <w:numPr>
                <w:ilvl w:val="0"/>
                <w:numId w:val="2"/>
              </w:numPr>
              <w:spacing w:before="20" w:after="20"/>
            </w:pPr>
            <w:r>
              <w:rPr>
                <w:rFonts w:ascii="Arial" w:cs="Arial" w:eastAsia="Arial" w:hAnsi="Arial"/>
                <w:color w:val="444444"/>
                <w:sz w:val="20"/>
                <w:szCs w:val="20"/>
              </w:rPr>
              <w:t xml:space="preserve">Tomar conciencia sin juzgar</w:t>
            </w:r>
          </w:p>
        </w:tc>
        <w:tc>
          <w:tcPr>
            <w:tcW w:type="dxa" w:w="4826"/>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Contenidos</w:t>
            </w:r>
          </w:p>
          <w:p>
            <w:pPr>
              <w:pStyle w:val="ListParagraph"/>
              <w:numPr>
                <w:ilvl w:val="0"/>
                <w:numId w:val="2"/>
              </w:numPr>
              <w:spacing w:before="20" w:after="20"/>
            </w:pPr>
            <w:r>
              <w:rPr>
                <w:rFonts w:ascii="Arial" w:cs="Arial" w:eastAsia="Arial" w:hAnsi="Arial"/>
                <w:color w:val="444444"/>
                <w:sz w:val="20"/>
                <w:szCs w:val="20"/>
              </w:rPr>
              <w:t xml:space="preserve">Auditoría de tiempo: ejercicio práctico</w:t>
            </w:r>
          </w:p>
          <w:p>
            <w:pPr>
              <w:pStyle w:val="ListParagraph"/>
              <w:numPr>
                <w:ilvl w:val="0"/>
                <w:numId w:val="2"/>
              </w:numPr>
              <w:spacing w:before="20" w:after="20"/>
            </w:pPr>
            <w:r>
              <w:rPr>
                <w:rFonts w:ascii="Arial" w:cs="Arial" w:eastAsia="Arial" w:hAnsi="Arial"/>
                <w:color w:val="444444"/>
                <w:sz w:val="20"/>
                <w:szCs w:val="20"/>
              </w:rPr>
              <w:t xml:space="preserve">Los 5 ladrones de tiempo más frecuentes</w:t>
            </w:r>
          </w:p>
          <w:p>
            <w:pPr>
              <w:pStyle w:val="ListParagraph"/>
              <w:numPr>
                <w:ilvl w:val="0"/>
                <w:numId w:val="2"/>
              </w:numPr>
              <w:spacing w:before="20" w:after="20"/>
            </w:pPr>
            <w:r>
              <w:rPr>
                <w:rFonts w:ascii="Arial" w:cs="Arial" w:eastAsia="Arial" w:hAnsi="Arial"/>
                <w:color w:val="444444"/>
                <w:sz w:val="20"/>
                <w:szCs w:val="20"/>
              </w:rPr>
              <w:t xml:space="preserve">Diferencia entre urgente e importante</w:t>
            </w:r>
          </w:p>
          <w:p>
            <w:pPr>
              <w:pStyle w:val="ListParagraph"/>
              <w:numPr>
                <w:ilvl w:val="0"/>
                <w:numId w:val="2"/>
              </w:numPr>
              <w:spacing w:before="20" w:after="20"/>
            </w:pPr>
            <w:r>
              <w:rPr>
                <w:rFonts w:ascii="Arial" w:cs="Arial" w:eastAsia="Arial" w:hAnsi="Arial"/>
                <w:color w:val="444444"/>
                <w:sz w:val="20"/>
                <w:szCs w:val="20"/>
              </w:rPr>
              <w:t xml:space="preserve">Carga mental vs carga real de trabajo</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24059" w:sz="1"/>
              <w:left w:val="single" w:color="024059" w:sz="1"/>
              <w:bottom w:val="single" w:color="024059" w:sz="1"/>
              <w:right w:val="single" w:color="024059" w:sz="1"/>
            </w:tcBorders>
            <w:shd w:fill="024059" w:val="clear"/>
            <w:tcMar>
              <w:top w:type="dxa" w:w="120"/>
              <w:left w:type="dxa" w:w="160"/>
              <w:bottom w:type="dxa" w:w="120"/>
              <w:right w:type="dxa" w:w="160"/>
            </w:tcMar>
          </w:tcPr>
          <w:p>
            <w:r>
              <w:rPr>
                <w:rFonts w:ascii="Arial" w:cs="Arial" w:eastAsia="Arial" w:hAnsi="Arial"/>
                <w:color w:val="AACCDD"/>
                <w:sz w:val="20"/>
                <w:szCs w:val="20"/>
              </w:rPr>
              <w:t xml:space="preserve">Módulo 2  ·  </w:t>
            </w:r>
            <w:r>
              <w:rPr>
                <w:rFonts w:ascii="Arial" w:cs="Arial" w:eastAsia="Arial" w:hAnsi="Arial"/>
                <w:b/>
                <w:bCs/>
                <w:color w:val="FFFFFF"/>
                <w:sz w:val="22"/>
                <w:szCs w:val="22"/>
              </w:rPr>
              <w:t xml:space="preserve">Priorización: lo que importa primero</w:t>
            </w:r>
            <w:r>
              <w:rPr>
                <w:rFonts w:ascii="Arial" w:cs="Arial" w:eastAsia="Arial" w:hAnsi="Arial"/>
                <w:color w:val="AACCDD"/>
                <w:sz w:val="18"/>
                <w:szCs w:val="18"/>
              </w:rPr>
              <w:t xml:space="preserve">  ·  90 min</w:t>
            </w:r>
          </w:p>
        </w:tc>
      </w:tr>
      <w:tr>
        <w:tc>
          <w:tcPr>
            <w:tcW w:type="dxa" w:w="4200"/>
            <w:tcBorders>
              <w:top w:val="single" w:color="CCCCCC" w:sz="1"/>
              <w:left w:val="single" w:color="CCCCCC" w:sz="1"/>
              <w:bottom w:val="single" w:color="CCCCCC" w:sz="1"/>
              <w:right w:val="single" w:color="4e9da6" w:sz="1"/>
            </w:tcBorders>
            <w:shd w:fill="F5F5F0"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Objetivos</w:t>
            </w:r>
          </w:p>
          <w:p>
            <w:pPr>
              <w:pStyle w:val="ListParagraph"/>
              <w:numPr>
                <w:ilvl w:val="0"/>
                <w:numId w:val="2"/>
              </w:numPr>
              <w:spacing w:before="20" w:after="20"/>
            </w:pPr>
            <w:r>
              <w:rPr>
                <w:rFonts w:ascii="Arial" w:cs="Arial" w:eastAsia="Arial" w:hAnsi="Arial"/>
                <w:color w:val="444444"/>
                <w:sz w:val="20"/>
                <w:szCs w:val="20"/>
              </w:rPr>
              <w:t xml:space="preserve">Distinguir lo estratégico de lo operativo</w:t>
            </w:r>
          </w:p>
          <w:p>
            <w:pPr>
              <w:pStyle w:val="ListParagraph"/>
              <w:numPr>
                <w:ilvl w:val="0"/>
                <w:numId w:val="2"/>
              </w:numPr>
              <w:spacing w:before="20" w:after="20"/>
            </w:pPr>
            <w:r>
              <w:rPr>
                <w:rFonts w:ascii="Arial" w:cs="Arial" w:eastAsia="Arial" w:hAnsi="Arial"/>
                <w:color w:val="444444"/>
                <w:sz w:val="20"/>
                <w:szCs w:val="20"/>
              </w:rPr>
              <w:t xml:space="preserve">Tomar decisiones de foco con criterio</w:t>
            </w:r>
          </w:p>
          <w:p>
            <w:pPr>
              <w:pStyle w:val="ListParagraph"/>
              <w:numPr>
                <w:ilvl w:val="0"/>
                <w:numId w:val="2"/>
              </w:numPr>
              <w:spacing w:before="20" w:after="20"/>
            </w:pPr>
            <w:r>
              <w:rPr>
                <w:rFonts w:ascii="Arial" w:cs="Arial" w:eastAsia="Arial" w:hAnsi="Arial"/>
                <w:color w:val="444444"/>
                <w:sz w:val="20"/>
                <w:szCs w:val="20"/>
              </w:rPr>
              <w:t xml:space="preserve">Reducir la dispersión y el multitasking</w:t>
            </w:r>
          </w:p>
        </w:tc>
        <w:tc>
          <w:tcPr>
            <w:tcW w:type="dxa" w:w="4826"/>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Contenidos</w:t>
            </w:r>
          </w:p>
          <w:p>
            <w:pPr>
              <w:pStyle w:val="ListParagraph"/>
              <w:numPr>
                <w:ilvl w:val="0"/>
                <w:numId w:val="2"/>
              </w:numPr>
              <w:spacing w:before="20" w:after="20"/>
            </w:pPr>
            <w:r>
              <w:rPr>
                <w:rFonts w:ascii="Arial" w:cs="Arial" w:eastAsia="Arial" w:hAnsi="Arial"/>
                <w:color w:val="444444"/>
                <w:sz w:val="20"/>
                <w:szCs w:val="20"/>
              </w:rPr>
              <w:t xml:space="preserve">Matriz de Eisenhower aplicada al trabajo real</w:t>
            </w:r>
          </w:p>
          <w:p>
            <w:pPr>
              <w:pStyle w:val="ListParagraph"/>
              <w:numPr>
                <w:ilvl w:val="0"/>
                <w:numId w:val="2"/>
              </w:numPr>
              <w:spacing w:before="20" w:after="20"/>
            </w:pPr>
            <w:r>
              <w:rPr>
                <w:rFonts w:ascii="Arial" w:cs="Arial" w:eastAsia="Arial" w:hAnsi="Arial"/>
                <w:color w:val="444444"/>
                <w:sz w:val="20"/>
                <w:szCs w:val="20"/>
              </w:rPr>
              <w:t xml:space="preserve">El método "una sola cosa" (Gary Keller)</w:t>
            </w:r>
          </w:p>
          <w:p>
            <w:pPr>
              <w:pStyle w:val="ListParagraph"/>
              <w:numPr>
                <w:ilvl w:val="0"/>
                <w:numId w:val="2"/>
              </w:numPr>
              <w:spacing w:before="20" w:after="20"/>
            </w:pPr>
            <w:r>
              <w:rPr>
                <w:rFonts w:ascii="Arial" w:cs="Arial" w:eastAsia="Arial" w:hAnsi="Arial"/>
                <w:color w:val="444444"/>
                <w:sz w:val="20"/>
                <w:szCs w:val="20"/>
              </w:rPr>
              <w:t xml:space="preserve">Cómo decir no desde la estrategia, no desde el miedo</w:t>
            </w:r>
          </w:p>
          <w:p>
            <w:pPr>
              <w:pStyle w:val="ListParagraph"/>
              <w:numPr>
                <w:ilvl w:val="0"/>
                <w:numId w:val="2"/>
              </w:numPr>
              <w:spacing w:before="20" w:after="20"/>
            </w:pPr>
            <w:r>
              <w:rPr>
                <w:rFonts w:ascii="Arial" w:cs="Arial" w:eastAsia="Arial" w:hAnsi="Arial"/>
                <w:color w:val="444444"/>
                <w:sz w:val="20"/>
                <w:szCs w:val="20"/>
              </w:rPr>
              <w:t xml:space="preserve">Rutina de inicio y cierre de jornada</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24059" w:sz="1"/>
              <w:left w:val="single" w:color="024059" w:sz="1"/>
              <w:bottom w:val="single" w:color="024059" w:sz="1"/>
              <w:right w:val="single" w:color="024059" w:sz="1"/>
            </w:tcBorders>
            <w:shd w:fill="024059" w:val="clear"/>
            <w:tcMar>
              <w:top w:type="dxa" w:w="120"/>
              <w:left w:type="dxa" w:w="160"/>
              <w:bottom w:type="dxa" w:w="120"/>
              <w:right w:type="dxa" w:w="160"/>
            </w:tcMar>
          </w:tcPr>
          <w:p>
            <w:r>
              <w:rPr>
                <w:rFonts w:ascii="Arial" w:cs="Arial" w:eastAsia="Arial" w:hAnsi="Arial"/>
                <w:color w:val="AACCDD"/>
                <w:sz w:val="20"/>
                <w:szCs w:val="20"/>
              </w:rPr>
              <w:t xml:space="preserve">Módulo 3  ·  </w:t>
            </w:r>
            <w:r>
              <w:rPr>
                <w:rFonts w:ascii="Arial" w:cs="Arial" w:eastAsia="Arial" w:hAnsi="Arial"/>
                <w:b/>
                <w:bCs/>
                <w:color w:val="FFFFFF"/>
                <w:sz w:val="22"/>
                <w:szCs w:val="22"/>
              </w:rPr>
              <w:t xml:space="preserve">Sistema: diseña tu semana con intención</w:t>
            </w:r>
            <w:r>
              <w:rPr>
                <w:rFonts w:ascii="Arial" w:cs="Arial" w:eastAsia="Arial" w:hAnsi="Arial"/>
                <w:color w:val="AACCDD"/>
                <w:sz w:val="18"/>
                <w:szCs w:val="18"/>
              </w:rPr>
              <w:t xml:space="preserve">  ·  120 min</w:t>
            </w:r>
          </w:p>
        </w:tc>
      </w:tr>
      <w:tr>
        <w:tc>
          <w:tcPr>
            <w:tcW w:type="dxa" w:w="4200"/>
            <w:tcBorders>
              <w:top w:val="single" w:color="CCCCCC" w:sz="1"/>
              <w:left w:val="single" w:color="CCCCCC" w:sz="1"/>
              <w:bottom w:val="single" w:color="CCCCCC" w:sz="1"/>
              <w:right w:val="single" w:color="4e9da6" w:sz="1"/>
            </w:tcBorders>
            <w:shd w:fill="F5F5F0"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Objetivos</w:t>
            </w:r>
          </w:p>
          <w:p>
            <w:pPr>
              <w:pStyle w:val="ListParagraph"/>
              <w:numPr>
                <w:ilvl w:val="0"/>
                <w:numId w:val="2"/>
              </w:numPr>
              <w:spacing w:before="20" w:after="20"/>
            </w:pPr>
            <w:r>
              <w:rPr>
                <w:rFonts w:ascii="Arial" w:cs="Arial" w:eastAsia="Arial" w:hAnsi="Arial"/>
                <w:color w:val="444444"/>
                <w:sz w:val="20"/>
                <w:szCs w:val="20"/>
              </w:rPr>
              <w:t xml:space="preserve">Crear un sistema de planificación sostenible</w:t>
            </w:r>
          </w:p>
          <w:p>
            <w:pPr>
              <w:pStyle w:val="ListParagraph"/>
              <w:numPr>
                <w:ilvl w:val="0"/>
                <w:numId w:val="2"/>
              </w:numPr>
              <w:spacing w:before="20" w:after="20"/>
            </w:pPr>
            <w:r>
              <w:rPr>
                <w:rFonts w:ascii="Arial" w:cs="Arial" w:eastAsia="Arial" w:hAnsi="Arial"/>
                <w:color w:val="444444"/>
                <w:sz w:val="20"/>
                <w:szCs w:val="20"/>
              </w:rPr>
              <w:t xml:space="preserve">Adaptar el método al contexto laboral propio</w:t>
            </w:r>
          </w:p>
          <w:p>
            <w:pPr>
              <w:pStyle w:val="ListParagraph"/>
              <w:numPr>
                <w:ilvl w:val="0"/>
                <w:numId w:val="2"/>
              </w:numPr>
              <w:spacing w:before="20" w:after="20"/>
            </w:pPr>
            <w:r>
              <w:rPr>
                <w:rFonts w:ascii="Arial" w:cs="Arial" w:eastAsia="Arial" w:hAnsi="Arial"/>
                <w:color w:val="444444"/>
                <w:sz w:val="20"/>
                <w:szCs w:val="20"/>
              </w:rPr>
              <w:t xml:space="preserve">Integrar el sistema en la rutina del equipo</w:t>
            </w:r>
          </w:p>
        </w:tc>
        <w:tc>
          <w:tcPr>
            <w:tcW w:type="dxa" w:w="4826"/>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Contenidos</w:t>
            </w:r>
          </w:p>
          <w:p>
            <w:pPr>
              <w:pStyle w:val="ListParagraph"/>
              <w:numPr>
                <w:ilvl w:val="0"/>
                <w:numId w:val="2"/>
              </w:numPr>
              <w:spacing w:before="20" w:after="20"/>
            </w:pPr>
            <w:r>
              <w:rPr>
                <w:rFonts w:ascii="Arial" w:cs="Arial" w:eastAsia="Arial" w:hAnsi="Arial"/>
                <w:color w:val="444444"/>
                <w:sz w:val="20"/>
                <w:szCs w:val="20"/>
              </w:rPr>
              <w:t xml:space="preserve">Time blocking: planificación por bloques</w:t>
            </w:r>
          </w:p>
          <w:p>
            <w:pPr>
              <w:pStyle w:val="ListParagraph"/>
              <w:numPr>
                <w:ilvl w:val="0"/>
                <w:numId w:val="2"/>
              </w:numPr>
              <w:spacing w:before="20" w:after="20"/>
            </w:pPr>
            <w:r>
              <w:rPr>
                <w:rFonts w:ascii="Arial" w:cs="Arial" w:eastAsia="Arial" w:hAnsi="Arial"/>
                <w:color w:val="444444"/>
                <w:sz w:val="20"/>
                <w:szCs w:val="20"/>
              </w:rPr>
              <w:t xml:space="preserve">Gestión del correo y las interrupciones</w:t>
            </w:r>
          </w:p>
          <w:p>
            <w:pPr>
              <w:pStyle w:val="ListParagraph"/>
              <w:numPr>
                <w:ilvl w:val="0"/>
                <w:numId w:val="2"/>
              </w:numPr>
              <w:spacing w:before="20" w:after="20"/>
            </w:pPr>
            <w:r>
              <w:rPr>
                <w:rFonts w:ascii="Arial" w:cs="Arial" w:eastAsia="Arial" w:hAnsi="Arial"/>
                <w:color w:val="444444"/>
                <w:sz w:val="20"/>
                <w:szCs w:val="20"/>
              </w:rPr>
              <w:t xml:space="preserve">Herramientas digitales de apoyo (analógicas y digitales)</w:t>
            </w:r>
          </w:p>
          <w:p>
            <w:pPr>
              <w:pStyle w:val="ListParagraph"/>
              <w:numPr>
                <w:ilvl w:val="0"/>
                <w:numId w:val="2"/>
              </w:numPr>
              <w:spacing w:before="20" w:after="20"/>
            </w:pPr>
            <w:r>
              <w:rPr>
                <w:rFonts w:ascii="Arial" w:cs="Arial" w:eastAsia="Arial" w:hAnsi="Arial"/>
                <w:color w:val="444444"/>
                <w:sz w:val="20"/>
                <w:szCs w:val="20"/>
              </w:rPr>
              <w:t xml:space="preserve">Diseño de la semana ideal vs semana real</w:t>
            </w:r>
          </w:p>
          <w:p>
            <w:pPr>
              <w:pStyle w:val="ListParagraph"/>
              <w:numPr>
                <w:ilvl w:val="0"/>
                <w:numId w:val="2"/>
              </w:numPr>
              <w:spacing w:before="20" w:after="20"/>
            </w:pPr>
            <w:r>
              <w:rPr>
                <w:rFonts w:ascii="Arial" w:cs="Arial" w:eastAsia="Arial" w:hAnsi="Arial"/>
                <w:color w:val="444444"/>
                <w:sz w:val="20"/>
                <w:szCs w:val="20"/>
              </w:rPr>
              <w:t xml:space="preserve">Taller de construcción del sistema personal</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24059" w:sz="1"/>
              <w:left w:val="single" w:color="024059" w:sz="1"/>
              <w:bottom w:val="single" w:color="024059" w:sz="1"/>
              <w:right w:val="single" w:color="024059" w:sz="1"/>
            </w:tcBorders>
            <w:shd w:fill="024059" w:val="clear"/>
            <w:tcMar>
              <w:top w:type="dxa" w:w="120"/>
              <w:left w:type="dxa" w:w="160"/>
              <w:bottom w:type="dxa" w:w="120"/>
              <w:right w:type="dxa" w:w="160"/>
            </w:tcMar>
          </w:tcPr>
          <w:p>
            <w:r>
              <w:rPr>
                <w:rFonts w:ascii="Arial" w:cs="Arial" w:eastAsia="Arial" w:hAnsi="Arial"/>
                <w:color w:val="AACCDD"/>
                <w:sz w:val="20"/>
                <w:szCs w:val="20"/>
              </w:rPr>
              <w:t xml:space="preserve">Módulo 4  ·  </w:t>
            </w:r>
            <w:r>
              <w:rPr>
                <w:rFonts w:ascii="Arial" w:cs="Arial" w:eastAsia="Arial" w:hAnsi="Arial"/>
                <w:b/>
                <w:bCs/>
                <w:color w:val="FFFFFF"/>
                <w:sz w:val="22"/>
                <w:szCs w:val="22"/>
              </w:rPr>
              <w:t xml:space="preserve">Energía: rendir sin vaciarse</w:t>
            </w:r>
            <w:r>
              <w:rPr>
                <w:rFonts w:ascii="Arial" w:cs="Arial" w:eastAsia="Arial" w:hAnsi="Arial"/>
                <w:color w:val="AACCDD"/>
                <w:sz w:val="18"/>
                <w:szCs w:val="18"/>
              </w:rPr>
              <w:t xml:space="preserve">  ·  60 min</w:t>
            </w:r>
          </w:p>
        </w:tc>
      </w:tr>
      <w:tr>
        <w:tc>
          <w:tcPr>
            <w:tcW w:type="dxa" w:w="4200"/>
            <w:tcBorders>
              <w:top w:val="single" w:color="CCCCCC" w:sz="1"/>
              <w:left w:val="single" w:color="CCCCCC" w:sz="1"/>
              <w:bottom w:val="single" w:color="CCCCCC" w:sz="1"/>
              <w:right w:val="single" w:color="4e9da6" w:sz="1"/>
            </w:tcBorders>
            <w:shd w:fill="F5F5F0"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Objetivos</w:t>
            </w:r>
          </w:p>
          <w:p>
            <w:pPr>
              <w:pStyle w:val="ListParagraph"/>
              <w:numPr>
                <w:ilvl w:val="0"/>
                <w:numId w:val="2"/>
              </w:numPr>
              <w:spacing w:before="20" w:after="20"/>
            </w:pPr>
            <w:r>
              <w:rPr>
                <w:rFonts w:ascii="Arial" w:cs="Arial" w:eastAsia="Arial" w:hAnsi="Arial"/>
                <w:color w:val="444444"/>
                <w:sz w:val="20"/>
                <w:szCs w:val="20"/>
              </w:rPr>
              <w:t xml:space="preserve">Entender la relación entre energía y rendimiento</w:t>
            </w:r>
          </w:p>
          <w:p>
            <w:pPr>
              <w:pStyle w:val="ListParagraph"/>
              <w:numPr>
                <w:ilvl w:val="0"/>
                <w:numId w:val="2"/>
              </w:numPr>
              <w:spacing w:before="20" w:after="20"/>
            </w:pPr>
            <w:r>
              <w:rPr>
                <w:rFonts w:ascii="Arial" w:cs="Arial" w:eastAsia="Arial" w:hAnsi="Arial"/>
                <w:color w:val="444444"/>
                <w:sz w:val="20"/>
                <w:szCs w:val="20"/>
              </w:rPr>
              <w:t xml:space="preserve">Incorporar pausas activas y recuperación</w:t>
            </w:r>
          </w:p>
          <w:p>
            <w:pPr>
              <w:pStyle w:val="ListParagraph"/>
              <w:numPr>
                <w:ilvl w:val="0"/>
                <w:numId w:val="2"/>
              </w:numPr>
              <w:spacing w:before="20" w:after="20"/>
            </w:pPr>
            <w:r>
              <w:rPr>
                <w:rFonts w:ascii="Arial" w:cs="Arial" w:eastAsia="Arial" w:hAnsi="Arial"/>
                <w:color w:val="444444"/>
                <w:sz w:val="20"/>
                <w:szCs w:val="20"/>
              </w:rPr>
              <w:t xml:space="preserve">Sostener el sistema en el tiempo</w:t>
            </w:r>
          </w:p>
        </w:tc>
        <w:tc>
          <w:tcPr>
            <w:tcW w:type="dxa" w:w="4826"/>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Contenidos</w:t>
            </w:r>
          </w:p>
          <w:p>
            <w:pPr>
              <w:pStyle w:val="ListParagraph"/>
              <w:numPr>
                <w:ilvl w:val="0"/>
                <w:numId w:val="2"/>
              </w:numPr>
              <w:spacing w:before="20" w:after="20"/>
            </w:pPr>
            <w:r>
              <w:rPr>
                <w:rFonts w:ascii="Arial" w:cs="Arial" w:eastAsia="Arial" w:hAnsi="Arial"/>
                <w:color w:val="444444"/>
                <w:sz w:val="20"/>
                <w:szCs w:val="20"/>
              </w:rPr>
              <w:t xml:space="preserve">Ciclos ultradianos y gestión de la energía</w:t>
            </w:r>
          </w:p>
          <w:p>
            <w:pPr>
              <w:pStyle w:val="ListParagraph"/>
              <w:numPr>
                <w:ilvl w:val="0"/>
                <w:numId w:val="2"/>
              </w:numPr>
              <w:spacing w:before="20" w:after="20"/>
            </w:pPr>
            <w:r>
              <w:rPr>
                <w:rFonts w:ascii="Arial" w:cs="Arial" w:eastAsia="Arial" w:hAnsi="Arial"/>
                <w:color w:val="444444"/>
                <w:sz w:val="20"/>
                <w:szCs w:val="20"/>
              </w:rPr>
              <w:t xml:space="preserve">Pausas que funcionan de verdad</w:t>
            </w:r>
          </w:p>
          <w:p>
            <w:pPr>
              <w:pStyle w:val="ListParagraph"/>
              <w:numPr>
                <w:ilvl w:val="0"/>
                <w:numId w:val="2"/>
              </w:numPr>
              <w:spacing w:before="20" w:after="20"/>
            </w:pPr>
            <w:r>
              <w:rPr>
                <w:rFonts w:ascii="Arial" w:cs="Arial" w:eastAsia="Arial" w:hAnsi="Arial"/>
                <w:color w:val="444444"/>
                <w:sz w:val="20"/>
                <w:szCs w:val="20"/>
              </w:rPr>
              <w:t xml:space="preserve">Señales de alerta: cuando el sistema se rompe</w:t>
            </w:r>
          </w:p>
          <w:p>
            <w:pPr>
              <w:pStyle w:val="ListParagraph"/>
              <w:numPr>
                <w:ilvl w:val="0"/>
                <w:numId w:val="2"/>
              </w:numPr>
              <w:spacing w:before="20" w:after="20"/>
            </w:pPr>
            <w:r>
              <w:rPr>
                <w:rFonts w:ascii="Arial" w:cs="Arial" w:eastAsia="Arial" w:hAnsi="Arial"/>
                <w:color w:val="444444"/>
                <w:sz w:val="20"/>
                <w:szCs w:val="20"/>
              </w:rPr>
              <w:t xml:space="preserve">Compromiso personal de práctica</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9a679" w:sz="1"/>
              <w:left w:val="single" w:color="d9a679" w:sz="1"/>
              <w:bottom w:val="single" w:color="d9a679" w:sz="1"/>
              <w:right w:val="single" w:color="d9a679" w:sz="1"/>
            </w:tcBorders>
            <w:shd w:fill="f2ebd3" w:val="clear"/>
            <w:tcMar>
              <w:top w:type="dxa" w:w="160"/>
              <w:left w:type="dxa" w:w="200"/>
              <w:bottom w:type="dxa" w:w="160"/>
              <w:right w:type="dxa" w:w="200"/>
            </w:tcMar>
          </w:tcPr>
          <w:p>
            <w:pPr>
              <w:spacing w:after="80"/>
            </w:pPr>
            <w:r>
              <w:rPr>
                <w:rFonts w:ascii="Arial" w:cs="Arial" w:eastAsia="Arial" w:hAnsi="Arial"/>
                <w:b/>
                <w:bCs/>
                <w:color w:val="024059"/>
                <w:sz w:val="20"/>
                <w:szCs w:val="20"/>
              </w:rPr>
              <w:t xml:space="preserve">Cierre y plan de acción  ·  60 min</w:t>
            </w:r>
          </w:p>
          <w:p>
            <w:r>
              <w:rPr>
                <w:rFonts w:ascii="Arial" w:cs="Arial" w:eastAsia="Arial" w:hAnsi="Arial"/>
                <w:color w:val="444444"/>
                <w:sz w:val="20"/>
                <w:szCs w:val="20"/>
              </w:rPr>
              <w:t xml:space="preserve">Cada participante define por escrito sus 3 compromisos concretos para la semana siguiente. Puesta en común y cierre grupal con espacio para preguntas.</w:t>
            </w:r>
          </w:p>
        </w:tc>
      </w:tr>
    </w:tbl>
    <w:p>
      <w:pPr>
        <w:spacing w:before="400" w:after="0"/>
      </w:pPr>
      <w:r>
        <w:t xml:space="preserve"/>
      </w:r>
    </w:p>
    <w:p>
      <w:r>
        <w:br w:type="page"/>
      </w:r>
    </w:p>
    <w:p>
      <w:pPr>
        <w:pBdr>
          <w:bottom w:val="single" w:color="4e9da6" w:sz="8" w:space="4"/>
        </w:pBdr>
        <w:spacing w:before="400" w:after="120"/>
      </w:pPr>
      <w:r>
        <w:rPr>
          <w:rFonts w:ascii="Arial" w:cs="Arial" w:eastAsia="Arial" w:hAnsi="Arial"/>
          <w:b/>
          <w:bCs/>
          <w:color w:val="024059"/>
          <w:sz w:val="26"/>
          <w:szCs w:val="26"/>
        </w:rPr>
        <w:t xml:space="preserve">Metodología</w:t>
      </w:r>
    </w:p>
    <w:p>
      <w:pPr>
        <w:spacing w:before="0" w:after="100"/>
      </w:pPr>
      <w:r>
        <w:t xml:space="preserve"/>
      </w:r>
    </w:p>
    <w:p>
      <w:pPr>
        <w:spacing w:before="60" w:after="160"/>
      </w:pPr>
      <w:r>
        <w:rPr>
          <w:rFonts w:ascii="Arial" w:cs="Arial" w:eastAsia="Arial" w:hAnsi="Arial"/>
          <w:color w:val="444444"/>
          <w:sz w:val="22"/>
          <w:szCs w:val="22"/>
        </w:rPr>
        <w:t xml:space="preserve">El taller combina teoría aplicada, ejercicios individuales y reflexión grupal. No hay presentaciones largas ni teoría sin práctica: cada concepto se trabaja inmediatamente con un ejercicio real. El ritmo está pensado para mantener el foco y la energía durante toda la jornada.</w:t>
      </w:r>
    </w:p>
    <w:p>
      <w:pPr>
        <w:pStyle w:val="ListParagraph"/>
        <w:numPr>
          <w:ilvl w:val="0"/>
          <w:numId w:val="2"/>
        </w:numPr>
        <w:spacing w:before="40" w:after="40"/>
      </w:pPr>
      <w:r>
        <w:rPr>
          <w:rFonts w:ascii="Arial" w:cs="Arial" w:eastAsia="Arial" w:hAnsi="Arial"/>
          <w:b w:val="false"/>
          <w:bCs w:val="false"/>
          <w:color w:val="444444"/>
          <w:sz w:val="22"/>
          <w:szCs w:val="22"/>
        </w:rPr>
        <w:t xml:space="preserve">Diagnóstico individual al inicio: cada persona parte de su realidad, no de un caso ficticio</w:t>
      </w:r>
    </w:p>
    <w:p>
      <w:pPr>
        <w:pStyle w:val="ListParagraph"/>
        <w:numPr>
          <w:ilvl w:val="0"/>
          <w:numId w:val="2"/>
        </w:numPr>
        <w:spacing w:before="40" w:after="40"/>
      </w:pPr>
      <w:r>
        <w:rPr>
          <w:rFonts w:ascii="Arial" w:cs="Arial" w:eastAsia="Arial" w:hAnsi="Arial"/>
          <w:b w:val="false"/>
          <w:bCs w:val="false"/>
          <w:color w:val="444444"/>
          <w:sz w:val="22"/>
          <w:szCs w:val="22"/>
        </w:rPr>
        <w:t xml:space="preserve">Ejercicios prácticos entre módulos: se aplica lo aprendido de forma inmediata</w:t>
      </w:r>
    </w:p>
    <w:p>
      <w:pPr>
        <w:pStyle w:val="ListParagraph"/>
        <w:numPr>
          <w:ilvl w:val="0"/>
          <w:numId w:val="2"/>
        </w:numPr>
        <w:spacing w:before="40" w:after="40"/>
      </w:pPr>
      <w:r>
        <w:rPr>
          <w:rFonts w:ascii="Arial" w:cs="Arial" w:eastAsia="Arial" w:hAnsi="Arial"/>
          <w:b w:val="false"/>
          <w:bCs w:val="false"/>
          <w:color w:val="444444"/>
          <w:sz w:val="22"/>
          <w:szCs w:val="22"/>
        </w:rPr>
        <w:t xml:space="preserve">Materiales de trabajo incluidos: cuaderno de trabajo descargable o impreso</w:t>
      </w:r>
    </w:p>
    <w:p>
      <w:pPr>
        <w:pStyle w:val="ListParagraph"/>
        <w:numPr>
          <w:ilvl w:val="0"/>
          <w:numId w:val="2"/>
        </w:numPr>
        <w:spacing w:before="40" w:after="40"/>
      </w:pPr>
      <w:r>
        <w:rPr>
          <w:rFonts w:ascii="Arial" w:cs="Arial" w:eastAsia="Arial" w:hAnsi="Arial"/>
          <w:b w:val="false"/>
          <w:bCs w:val="false"/>
          <w:color w:val="444444"/>
          <w:sz w:val="22"/>
          <w:szCs w:val="22"/>
        </w:rPr>
        <w:t xml:space="preserve">Espacio de reflexión grupal: el grupo es recurso, no solo audiencia</w:t>
      </w:r>
    </w:p>
    <w:p>
      <w:pPr>
        <w:pStyle w:val="ListParagraph"/>
        <w:numPr>
          <w:ilvl w:val="0"/>
          <w:numId w:val="2"/>
        </w:numPr>
        <w:spacing w:before="40" w:after="40"/>
      </w:pPr>
      <w:r>
        <w:rPr>
          <w:rFonts w:ascii="Arial" w:cs="Arial" w:eastAsia="Arial" w:hAnsi="Arial"/>
          <w:b w:val="false"/>
          <w:bCs w:val="false"/>
          <w:color w:val="444444"/>
          <w:sz w:val="22"/>
          <w:szCs w:val="22"/>
        </w:rPr>
        <w:t xml:space="preserve">Plan de acción escrito al cierre: el compromiso con uno mismo, en papel</w:t>
      </w:r>
    </w:p>
    <w:p>
      <w:pPr>
        <w:pStyle w:val="ListParagraph"/>
        <w:numPr>
          <w:ilvl w:val="0"/>
          <w:numId w:val="2"/>
        </w:numPr>
        <w:spacing w:before="40" w:after="40"/>
      </w:pPr>
      <w:r>
        <w:rPr>
          <w:rFonts w:ascii="Arial" w:cs="Arial" w:eastAsia="Arial" w:hAnsi="Arial"/>
          <w:b w:val="false"/>
          <w:bCs w:val="false"/>
          <w:color w:val="444444"/>
          <w:sz w:val="22"/>
          <w:szCs w:val="22"/>
        </w:rPr>
        <w:t xml:space="preserve">Seguimiento opcional: sesión de revisión a las 3–4 semanas del taller (servicio adicional)</w:t>
      </w:r>
    </w:p>
    <w:p>
      <w:pPr>
        <w:spacing w:before="400" w:after="0"/>
      </w:pPr>
      <w:r>
        <w:t xml:space="preserve"/>
      </w:r>
    </w:p>
    <w:p>
      <w:pPr>
        <w:pBdr>
          <w:bottom w:val="single" w:color="4e9da6" w:sz="8" w:space="4"/>
        </w:pBdr>
        <w:spacing w:before="400" w:after="120"/>
      </w:pPr>
      <w:r>
        <w:rPr>
          <w:rFonts w:ascii="Arial" w:cs="Arial" w:eastAsia="Arial" w:hAnsi="Arial"/>
          <w:b/>
          <w:bCs/>
          <w:color w:val="024059"/>
          <w:sz w:val="26"/>
          <w:szCs w:val="26"/>
        </w:rPr>
        <w:t xml:space="preserve">Inversión y bonificación FUNDAE</w:t>
      </w:r>
    </w:p>
    <w:p>
      <w:pPr>
        <w:spacing w:before="0" w:after="100"/>
      </w:pPr>
      <w:r>
        <w:t xml:space="preserve"/>
      </w:r>
    </w:p>
    <w:p>
      <w:pPr>
        <w:spacing w:before="60" w:after="200"/>
      </w:pPr>
      <w:r>
        <w:rPr>
          <w:rFonts w:ascii="Arial" w:cs="Arial" w:eastAsia="Arial" w:hAnsi="Arial"/>
          <w:color w:val="444444"/>
          <w:sz w:val="22"/>
          <w:szCs w:val="22"/>
        </w:rPr>
        <w:t xml:space="preserve">Todas las modalidades son bonificables a través de FUNDAE (Fundación Estatal para la Formación en el Empleo). Las empresas que cotizan por formación profesional disponen de un crédito anual que pueden aplicar directamente al coste de este taller. Las pymes de 1–9 empleados pueden bonificar hasta el 100% del importe.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526"/>
        <w:gridCol w:w="2500"/>
      </w:tblGrid>
      <w:tr>
        <w:tc>
          <w:tcPr>
            <w:tcW w:type="dxa" w:w="2000"/>
            <w:tcBorders>
              <w:top w:val="single" w:color="126173" w:sz="1"/>
              <w:left w:val="single" w:color="126173" w:sz="1"/>
              <w:bottom w:val="single" w:color="126173" w:sz="1"/>
              <w:right w:val="single" w:color="126173" w:sz="1"/>
            </w:tcBorders>
            <w:shd w:fill="126173" w:val="clear"/>
            <w:tcMar>
              <w:top w:type="dxa" w:w="100"/>
              <w:left w:type="dxa" w:w="140"/>
              <w:bottom w:type="dxa" w:w="100"/>
              <w:right w:type="dxa" w:w="140"/>
            </w:tcMar>
          </w:tcPr>
          <w:p>
            <w:r>
              <w:rPr>
                <w:rFonts w:ascii="Arial" w:cs="Arial" w:eastAsia="Arial" w:hAnsi="Arial"/>
                <w:b/>
                <w:bCs/>
                <w:color w:val="FFFFFF"/>
                <w:sz w:val="20"/>
                <w:szCs w:val="20"/>
              </w:rPr>
              <w:t xml:space="preserve">Modalidad</w:t>
            </w:r>
          </w:p>
        </w:tc>
        <w:tc>
          <w:tcPr>
            <w:tcW w:type="dxa" w:w="2000"/>
            <w:tcBorders>
              <w:top w:val="single" w:color="126173" w:sz="1"/>
              <w:left w:val="single" w:color="126173" w:sz="1"/>
              <w:bottom w:val="single" w:color="126173" w:sz="1"/>
              <w:right w:val="single" w:color="126173" w:sz="1"/>
            </w:tcBorders>
            <w:shd w:fill="126173" w:val="clear"/>
            <w:tcMar>
              <w:top w:type="dxa" w:w="100"/>
              <w:left w:type="dxa" w:w="140"/>
              <w:bottom w:type="dxa" w:w="100"/>
              <w:right w:type="dxa" w:w="140"/>
            </w:tcMar>
          </w:tcPr>
          <w:p>
            <w:r>
              <w:rPr>
                <w:rFonts w:ascii="Arial" w:cs="Arial" w:eastAsia="Arial" w:hAnsi="Arial"/>
                <w:b/>
                <w:bCs/>
                <w:color w:val="FFFFFF"/>
                <w:sz w:val="20"/>
                <w:szCs w:val="20"/>
              </w:rPr>
              <w:t xml:space="preserve">Formato</w:t>
            </w:r>
          </w:p>
        </w:tc>
        <w:tc>
          <w:tcPr>
            <w:tcW w:type="dxa" w:w="2526"/>
            <w:tcBorders>
              <w:top w:val="single" w:color="126173" w:sz="1"/>
              <w:left w:val="single" w:color="126173" w:sz="1"/>
              <w:bottom w:val="single" w:color="126173" w:sz="1"/>
              <w:right w:val="single" w:color="126173" w:sz="1"/>
            </w:tcBorders>
            <w:shd w:fill="126173" w:val="clear"/>
            <w:tcMar>
              <w:top w:type="dxa" w:w="100"/>
              <w:left w:type="dxa" w:w="140"/>
              <w:bottom w:type="dxa" w:w="100"/>
              <w:right w:type="dxa" w:w="140"/>
            </w:tcMar>
          </w:tcPr>
          <w:p>
            <w:r>
              <w:rPr>
                <w:rFonts w:ascii="Arial" w:cs="Arial" w:eastAsia="Arial" w:hAnsi="Arial"/>
                <w:b/>
                <w:bCs/>
                <w:color w:val="FFFFFF"/>
                <w:sz w:val="20"/>
                <w:szCs w:val="20"/>
              </w:rPr>
              <w:t xml:space="preserve">Precio orientativo</w:t>
            </w:r>
          </w:p>
        </w:tc>
        <w:tc>
          <w:tcPr>
            <w:tcW w:type="dxa" w:w="2500"/>
            <w:tcBorders>
              <w:top w:val="single" w:color="126173" w:sz="1"/>
              <w:left w:val="single" w:color="126173" w:sz="1"/>
              <w:bottom w:val="single" w:color="126173" w:sz="1"/>
              <w:right w:val="single" w:color="126173" w:sz="1"/>
            </w:tcBorders>
            <w:shd w:fill="126173" w:val="clear"/>
            <w:tcMar>
              <w:top w:type="dxa" w:w="100"/>
              <w:left w:type="dxa" w:w="140"/>
              <w:bottom w:type="dxa" w:w="100"/>
              <w:right w:type="dxa" w:w="140"/>
            </w:tcMar>
          </w:tcPr>
          <w:p>
            <w:r>
              <w:rPr>
                <w:rFonts w:ascii="Arial" w:cs="Arial" w:eastAsia="Arial" w:hAnsi="Arial"/>
                <w:b/>
                <w:bCs/>
                <w:color w:val="FFFFFF"/>
                <w:sz w:val="20"/>
                <w:szCs w:val="20"/>
              </w:rPr>
              <w:t xml:space="preserve">Bonificación FUNDAE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Taller intensivo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1 jornada (8h)</w:t>
            </w:r>
          </w:p>
        </w:tc>
        <w:tc>
          <w:tcPr>
            <w:tcW w:type="dxa" w:w="2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desde 1.250 €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Hasta 100% (1–9 emp.)</w:t>
            </w:r>
          </w:p>
        </w:tc>
      </w:tr>
      <w:tr>
        <w:tc>
          <w:tcPr>
            <w:tcW w:type="dxa" w:w="2000"/>
            <w:tcBorders>
              <w:top w:val="single" w:color="CCCCCC" w:sz="1"/>
              <w:left w:val="single" w:color="CCCCCC" w:sz="1"/>
              <w:bottom w:val="single" w:color="CCCCCC" w:sz="1"/>
              <w:right w:val="single" w:color="CCCCCC" w:sz="1"/>
            </w:tcBorders>
            <w:shd w:fill="F5F5F0" w:val="clear"/>
            <w:tcMar>
              <w:top w:type="dxa" w:w="80"/>
              <w:left w:type="dxa" w:w="140"/>
              <w:bottom w:type="dxa" w:w="80"/>
              <w:right w:type="dxa" w:w="140"/>
            </w:tcMar>
          </w:tcPr>
          <w:p>
            <w:r>
              <w:rPr>
                <w:rFonts w:ascii="Arial" w:cs="Arial" w:eastAsia="Arial" w:hAnsi="Arial"/>
                <w:color w:val="444444"/>
                <w:sz w:val="20"/>
                <w:szCs w:val="20"/>
              </w:rPr>
              <w:t xml:space="preserve">2 sesiones de 4h</w:t>
            </w:r>
          </w:p>
        </w:tc>
        <w:tc>
          <w:tcPr>
            <w:tcW w:type="dxa" w:w="2000"/>
            <w:tcBorders>
              <w:top w:val="single" w:color="CCCCCC" w:sz="1"/>
              <w:left w:val="single" w:color="CCCCCC" w:sz="1"/>
              <w:bottom w:val="single" w:color="CCCCCC" w:sz="1"/>
              <w:right w:val="single" w:color="CCCCCC" w:sz="1"/>
            </w:tcBorders>
            <w:shd w:fill="F5F5F0" w:val="clear"/>
            <w:tcMar>
              <w:top w:type="dxa" w:w="80"/>
              <w:left w:type="dxa" w:w="140"/>
              <w:bottom w:type="dxa" w:w="80"/>
              <w:right w:type="dxa" w:w="140"/>
            </w:tcMar>
          </w:tcPr>
          <w:p>
            <w:r>
              <w:rPr>
                <w:rFonts w:ascii="Arial" w:cs="Arial" w:eastAsia="Arial" w:hAnsi="Arial"/>
                <w:color w:val="444444"/>
                <w:sz w:val="20"/>
                <w:szCs w:val="20"/>
              </w:rPr>
              <w:t xml:space="preserve">Dos medias jornadas</w:t>
            </w:r>
          </w:p>
        </w:tc>
        <w:tc>
          <w:tcPr>
            <w:tcW w:type="dxa" w:w="2526"/>
            <w:tcBorders>
              <w:top w:val="single" w:color="CCCCCC" w:sz="1"/>
              <w:left w:val="single" w:color="CCCCCC" w:sz="1"/>
              <w:bottom w:val="single" w:color="CCCCCC" w:sz="1"/>
              <w:right w:val="single" w:color="CCCCCC" w:sz="1"/>
            </w:tcBorders>
            <w:shd w:fill="F5F5F0" w:val="clear"/>
            <w:tcMar>
              <w:top w:type="dxa" w:w="80"/>
              <w:left w:type="dxa" w:w="140"/>
              <w:bottom w:type="dxa" w:w="80"/>
              <w:right w:type="dxa" w:w="140"/>
            </w:tcMar>
          </w:tcPr>
          <w:p>
            <w:r>
              <w:rPr>
                <w:rFonts w:ascii="Arial" w:cs="Arial" w:eastAsia="Arial" w:hAnsi="Arial"/>
                <w:color w:val="444444"/>
                <w:sz w:val="20"/>
                <w:szCs w:val="20"/>
              </w:rPr>
              <w:t xml:space="preserve">desde 1.250 €</w:t>
            </w:r>
          </w:p>
        </w:tc>
        <w:tc>
          <w:tcPr>
            <w:tcW w:type="dxa" w:w="2500"/>
            <w:tcBorders>
              <w:top w:val="single" w:color="CCCCCC" w:sz="1"/>
              <w:left w:val="single" w:color="CCCCCC" w:sz="1"/>
              <w:bottom w:val="single" w:color="CCCCCC" w:sz="1"/>
              <w:right w:val="single" w:color="CCCCCC" w:sz="1"/>
            </w:tcBorders>
            <w:shd w:fill="F5F5F0" w:val="clear"/>
            <w:tcMar>
              <w:top w:type="dxa" w:w="80"/>
              <w:left w:type="dxa" w:w="140"/>
              <w:bottom w:type="dxa" w:w="80"/>
              <w:right w:type="dxa" w:w="140"/>
            </w:tcMar>
          </w:tcPr>
          <w:p>
            <w:r>
              <w:rPr>
                <w:rFonts w:ascii="Arial" w:cs="Arial" w:eastAsia="Arial" w:hAnsi="Arial"/>
                <w:color w:val="444444"/>
                <w:sz w:val="20"/>
                <w:szCs w:val="20"/>
              </w:rPr>
              <w:t xml:space="preserve">Hasta 75% (10–49 emp.)</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Programa 4 semanas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4 sesiones de 2h</w:t>
            </w:r>
          </w:p>
        </w:tc>
        <w:tc>
          <w:tcPr>
            <w:tcW w:type="dxa" w:w="2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desde 1.800 €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Bonificable por sesión</w:t>
            </w:r>
          </w:p>
        </w:tc>
      </w:tr>
    </w:tbl>
    <w:p>
      <w:pPr>
        <w:spacing w:before="200" w:after="0"/>
      </w:pPr>
      <w:r>
        <w:t xml:space="preserve"/>
      </w:r>
    </w:p>
    <w:p>
      <w:pPr>
        <w:spacing w:before="80" w:after="80"/>
      </w:pPr>
      <w:r>
        <w:rPr>
          <w:rFonts w:ascii="Arial" w:cs="Arial" w:eastAsia="Arial" w:hAnsi="Arial"/>
          <w:i/>
          <w:iCs/>
          <w:color w:val="777777"/>
          <w:sz w:val="18"/>
          <w:szCs w:val="18"/>
        </w:rPr>
        <w:t xml:space="preserve">* Precios sin IVA. Para grupos de más de 15 personas o programas a medida, consultar presupuesto personalizado.</w:t>
      </w:r>
    </w:p>
    <w:p>
      <w:pPr>
        <w:spacing w:before="40" w:after="200"/>
      </w:pPr>
      <w:r>
        <w:rPr>
          <w:rFonts w:ascii="Arial" w:cs="Arial" w:eastAsia="Arial" w:hAnsi="Arial"/>
          <w:i/>
          <w:iCs/>
          <w:color w:val="777777"/>
          <w:sz w:val="18"/>
          <w:szCs w:val="18"/>
        </w:rPr>
        <w:t xml:space="preserve">* La gestión de la bonificación FUNDAE se realiza en coordinación con la empresa cliente. Agustina González asesora en el proceso.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24059" w:val="clear"/>
            <w:tcMar>
              <w:top w:type="dxa" w:w="400"/>
              <w:left w:type="dxa" w:w="400"/>
              <w:bottom w:type="dxa" w:w="400"/>
              <w:right w:type="dxa" w:w="400"/>
            </w:tcMar>
          </w:tcPr>
          <w:p>
            <w:pPr>
              <w:spacing w:after="160"/>
            </w:pPr>
            <w:r>
              <w:rPr>
                <w:rFonts w:ascii="Arial" w:cs="Arial" w:eastAsia="Arial" w:hAnsi="Arial"/>
                <w:b/>
                <w:bCs/>
                <w:color w:val="d9a679"/>
                <w:sz w:val="22"/>
                <w:szCs w:val="22"/>
              </w:rPr>
              <w:t xml:space="preserve">Sobre Agustina González</w:t>
            </w:r>
          </w:p>
          <w:p>
            <w:pPr>
              <w:spacing w:after="200"/>
            </w:pPr>
            <w:r>
              <w:rPr>
                <w:rFonts w:ascii="Arial" w:cs="Arial" w:eastAsia="Arial" w:hAnsi="Arial"/>
                <w:color w:val="BBDDEE"/>
                <w:sz w:val="21"/>
                <w:szCs w:val="21"/>
              </w:rPr>
              <w:t xml:space="preserve">Consultora de estrategia, productividad y bienestar para empresas y emprendedores. Acompaña a equipos y líderes a encontrar claridad, foco y dirección en su trabajo — sin perder la esencia de lo que hacen.</w:t>
            </w:r>
          </w:p>
          <w:p>
            <w:r>
              <w:rPr>
                <w:rFonts w:ascii="Arial" w:cs="Arial" w:eastAsia="Arial" w:hAnsi="Arial"/>
                <w:b/>
                <w:bCs/>
                <w:color w:val="4e9da6"/>
                <w:sz w:val="20"/>
                <w:szCs w:val="20"/>
              </w:rPr>
              <w:t xml:space="preserve">agustinagonzalez.es</w:t>
            </w:r>
          </w:p>
        </w:tc>
      </w:tr>
    </w:tbl>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2ebd3" w:sz="4" w:space="4"/>
      </w:pBdr>
      <w:spacing w:before="80"/>
      <w:jc w:val="center"/>
    </w:pPr>
    <w:r>
      <w:rPr>
        <w:rFonts w:ascii="Arial" w:cs="Arial" w:eastAsia="Arial" w:hAnsi="Arial"/>
        <w:color w:val="777777"/>
        <w:sz w:val="16"/>
        <w:szCs w:val="16"/>
      </w:rPr>
      <w:t xml:space="preserve">Agustina González Consultora  ·  Barcelona  ·  </w:t>
    </w:r>
    <w:r>
      <w:rPr>
        <w:rFonts w:ascii="Arial" w:cs="Arial" w:eastAsia="Arial" w:hAnsi="Arial"/>
        <w:color w:val="4e9da6"/>
        <w:sz w:val="16"/>
        <w:szCs w:val="16"/>
      </w:rPr>
      <w:t xml:space="preserve">agustinagonzalez.es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0"/>
      <w:gridCol w:w="3026"/>
    </w:tblGrid>
    <w:tr>
      <w:tc>
        <w:tcPr>
          <w:tcW w:type="dxa" w:w="600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Arial" w:cs="Arial" w:eastAsia="Arial" w:hAnsi="Arial"/>
              <w:b/>
              <w:bCs/>
              <w:color w:val="126173"/>
              <w:sz w:val="18"/>
              <w:szCs w:val="18"/>
            </w:rPr>
            <w:t xml:space="preserve">Del caos al foco</w:t>
          </w:r>
        </w:p>
      </w:tc>
      <w:tc>
        <w:tcPr>
          <w:tcW w:type="dxa" w:w="3026"/>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Arial" w:cs="Arial" w:eastAsia="Arial" w:hAnsi="Arial"/>
              <w:color w:val="777777"/>
              <w:sz w:val="16"/>
              <w:szCs w:val="16"/>
            </w:rPr>
            <w:t xml:space="preserve">agustinagonzalez.es</w:t>
          </w:r>
        </w:p>
      </w:tc>
    </w:tr>
  </w:tbl>
  <w:p>
    <w:pPr>
      <w:pBdr>
        <w:bottom w:val="single" w:color="4e9da6" w:sz="4" w:space="4"/>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00"/>
      <w:outlineLvl w:val="0"/>
    </w:pPr>
    <w:rPr>
      <w:rFonts w:ascii="Arial" w:cs="Arial" w:eastAsia="Arial" w:hAnsi="Arial"/>
      <w:b/>
      <w:bCs/>
      <w:color w:val="024059"/>
      <w:sz w:val="36"/>
      <w:szCs w:val="36"/>
    </w:rPr>
  </w:style>
  <w:style w:type="paragraph" w:styleId="Heading2">
    <w:name w:val="Heading 2"/>
    <w:basedOn w:val="Normal"/>
    <w:next w:val="Normal"/>
    <w:qFormat/>
    <w:pPr>
      <w:spacing w:before="300" w:after="160"/>
      <w:outlineLvl w:val="1"/>
    </w:pPr>
    <w:rPr>
      <w:rFonts w:ascii="Arial" w:cs="Arial" w:eastAsia="Arial" w:hAnsi="Arial"/>
      <w:b/>
      <w:bCs/>
      <w:color w:val="12617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2026-03-25T07:39:31.803Z</dcterms:created>
  <dcterms:modified xsi:type="dcterms:W3CDTF">2026-03-25T07:39:31.804Z</dcterms:modified>
</cp:coreProperties>
</file>

<file path=docProps/custom.xml><?xml version="1.0" encoding="utf-8"?>
<Properties xmlns="http://schemas.openxmlformats.org/officeDocument/2006/custom-properties" xmlns:vt="http://schemas.openxmlformats.org/officeDocument/2006/docPropsVTypes"/>
</file>