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4EA" w:rsidRDefault="00ED54EA" w:rsidP="0075765D">
      <w:pPr>
        <w:pStyle w:val="NormalWeb"/>
        <w:jc w:val="center"/>
        <w:rPr>
          <w:rFonts w:ascii="Calibri" w:hAnsi="Calibri"/>
          <w:sz w:val="28"/>
          <w:szCs w:val="28"/>
        </w:rPr>
      </w:pPr>
      <w:r w:rsidRPr="0075765D">
        <w:rPr>
          <w:rFonts w:ascii="Calibri" w:hAnsi="Calibri"/>
          <w:b/>
          <w:sz w:val="28"/>
          <w:szCs w:val="28"/>
          <w:u w:val="single"/>
        </w:rPr>
        <w:t xml:space="preserve">ORIENTAÇÕES PRÉ ANESTÉSICAS – DRA DANIELA DONADEL </w:t>
      </w:r>
      <w:r>
        <w:rPr>
          <w:rFonts w:ascii="Calibri" w:hAnsi="Calibri"/>
          <w:sz w:val="28"/>
          <w:szCs w:val="28"/>
        </w:rPr>
        <w:br/>
      </w:r>
      <w:r w:rsidRPr="0075765D">
        <w:rPr>
          <w:rFonts w:ascii="Calibri" w:hAnsi="Calibri"/>
          <w:sz w:val="20"/>
          <w:szCs w:val="20"/>
        </w:rPr>
        <w:t>CRM 32076 RS – Médica</w:t>
      </w:r>
      <w:r w:rsidRPr="0075765D">
        <w:rPr>
          <w:rFonts w:ascii="Calibri" w:hAnsi="Calibri"/>
          <w:sz w:val="20"/>
          <w:szCs w:val="20"/>
        </w:rPr>
        <w:br/>
        <w:t xml:space="preserve">RQE </w:t>
      </w:r>
      <w:proofErr w:type="gramStart"/>
      <w:r w:rsidRPr="0075765D">
        <w:rPr>
          <w:rFonts w:ascii="Calibri" w:hAnsi="Calibri"/>
          <w:sz w:val="20"/>
          <w:szCs w:val="20"/>
        </w:rPr>
        <w:t>22927  -</w:t>
      </w:r>
      <w:proofErr w:type="gramEnd"/>
      <w:r w:rsidRPr="0075765D">
        <w:rPr>
          <w:rFonts w:ascii="Calibri" w:hAnsi="Calibri"/>
          <w:sz w:val="20"/>
          <w:szCs w:val="20"/>
        </w:rPr>
        <w:t xml:space="preserve"> </w:t>
      </w:r>
      <w:proofErr w:type="spellStart"/>
      <w:r w:rsidRPr="0075765D">
        <w:rPr>
          <w:rFonts w:ascii="Calibri" w:hAnsi="Calibri"/>
          <w:sz w:val="20"/>
          <w:szCs w:val="20"/>
        </w:rPr>
        <w:t>Anestesiologia</w:t>
      </w:r>
      <w:proofErr w:type="spellEnd"/>
      <w:r w:rsidRPr="0075765D">
        <w:rPr>
          <w:rFonts w:ascii="Calibri" w:hAnsi="Calibri"/>
          <w:sz w:val="20"/>
          <w:szCs w:val="20"/>
        </w:rPr>
        <w:br/>
        <w:t xml:space="preserve">RQE 31171 – </w:t>
      </w:r>
      <w:proofErr w:type="spellStart"/>
      <w:r w:rsidRPr="0075765D">
        <w:rPr>
          <w:rFonts w:ascii="Calibri" w:hAnsi="Calibri"/>
          <w:sz w:val="20"/>
          <w:szCs w:val="20"/>
        </w:rPr>
        <w:t>Anestesiologia</w:t>
      </w:r>
      <w:proofErr w:type="spellEnd"/>
      <w:r w:rsidRPr="0075765D">
        <w:rPr>
          <w:rFonts w:ascii="Calibri" w:hAnsi="Calibri"/>
          <w:sz w:val="20"/>
          <w:szCs w:val="20"/>
        </w:rPr>
        <w:t xml:space="preserve"> / Tratamento da Dor</w:t>
      </w:r>
      <w:r>
        <w:rPr>
          <w:rFonts w:ascii="Calibri" w:hAnsi="Calibri"/>
          <w:sz w:val="28"/>
          <w:szCs w:val="28"/>
        </w:rPr>
        <w:br/>
      </w:r>
    </w:p>
    <w:p w:rsidR="0075765D" w:rsidRPr="00ED54EA" w:rsidRDefault="0075765D" w:rsidP="004A2A15">
      <w:pPr>
        <w:pStyle w:val="NormalWeb"/>
        <w:ind w:firstLine="708"/>
        <w:jc w:val="both"/>
        <w:rPr>
          <w:rFonts w:ascii="Calibri" w:hAnsi="Calibri"/>
          <w:sz w:val="28"/>
          <w:szCs w:val="28"/>
        </w:rPr>
      </w:pPr>
      <w:r>
        <w:rPr>
          <w:rFonts w:ascii="Calibri" w:hAnsi="Calibri"/>
          <w:sz w:val="28"/>
          <w:szCs w:val="28"/>
        </w:rPr>
        <w:t xml:space="preserve">Estamos entrando em contato porque recebemos seu agendamento de cirurgia. É importante que todos os pacientes sejam adequadamente orientados quanto ao que é necessário fazer antes do procedimento para que não haja cancelamentos desnecessários ou imprevistos e para aumentarmos a segurança dos nossos procedimentos. A anestesia em si é um procedimento extremamente seguro e pode ser realizada em todas as pessoas. Quando bem orientadas, bem avaliadas e </w:t>
      </w:r>
      <w:r w:rsidR="00362A24">
        <w:rPr>
          <w:rFonts w:ascii="Calibri" w:hAnsi="Calibri"/>
          <w:sz w:val="28"/>
          <w:szCs w:val="28"/>
        </w:rPr>
        <w:t xml:space="preserve">quando for necessário, </w:t>
      </w:r>
      <w:r>
        <w:rPr>
          <w:rFonts w:ascii="Calibri" w:hAnsi="Calibri"/>
          <w:sz w:val="28"/>
          <w:szCs w:val="28"/>
        </w:rPr>
        <w:t xml:space="preserve">com todos os exames </w:t>
      </w:r>
      <w:r w:rsidR="0069705F">
        <w:rPr>
          <w:rFonts w:ascii="Calibri" w:hAnsi="Calibri"/>
          <w:sz w:val="28"/>
          <w:szCs w:val="28"/>
        </w:rPr>
        <w:t>adequados</w:t>
      </w:r>
      <w:r>
        <w:rPr>
          <w:rFonts w:ascii="Calibri" w:hAnsi="Calibri"/>
          <w:sz w:val="28"/>
          <w:szCs w:val="28"/>
        </w:rPr>
        <w:t xml:space="preserve"> realizados (e com resultados disponíveis em mãos) os desfechos são melhores aumentando a tranquilidade do paciente, de sua família e da equipe médica. </w:t>
      </w:r>
      <w:r w:rsidR="00242495">
        <w:rPr>
          <w:rFonts w:ascii="Calibri" w:hAnsi="Calibri"/>
          <w:sz w:val="28"/>
          <w:szCs w:val="28"/>
        </w:rPr>
        <w:t>Você deverá:</w:t>
      </w:r>
    </w:p>
    <w:p w:rsidR="00ED54EA" w:rsidRDefault="00ED54EA" w:rsidP="004A2A15">
      <w:pPr>
        <w:pStyle w:val="NormalWeb"/>
        <w:jc w:val="both"/>
      </w:pPr>
      <w:r>
        <w:rPr>
          <w:rFonts w:ascii="Calibri" w:hAnsi="Calibri"/>
          <w:sz w:val="28"/>
          <w:szCs w:val="28"/>
        </w:rPr>
        <w:t xml:space="preserve">- Manter jejum absoluto durante 8 horas (nem bala, </w:t>
      </w:r>
      <w:proofErr w:type="spellStart"/>
      <w:r>
        <w:rPr>
          <w:rFonts w:ascii="Calibri" w:hAnsi="Calibri"/>
          <w:sz w:val="28"/>
          <w:szCs w:val="28"/>
        </w:rPr>
        <w:t>água</w:t>
      </w:r>
      <w:proofErr w:type="spellEnd"/>
      <w:r>
        <w:rPr>
          <w:rFonts w:ascii="Calibri" w:hAnsi="Calibri"/>
          <w:sz w:val="28"/>
          <w:szCs w:val="28"/>
        </w:rPr>
        <w:t>, chicletes)</w:t>
      </w:r>
      <w:r w:rsidR="00242495">
        <w:rPr>
          <w:rFonts w:ascii="Calibri" w:hAnsi="Calibri"/>
          <w:sz w:val="28"/>
          <w:szCs w:val="28"/>
        </w:rPr>
        <w:t xml:space="preserve">. Caso necessário, e principalmente em caso de pacientes muito debilitados ou crianças, está liberado o consumo de água ou líquidos hidratantes claros (tipo Gatorade) por até 4 horas antes da cirurgia. </w:t>
      </w:r>
    </w:p>
    <w:p w:rsidR="00B44BE7" w:rsidRDefault="00ED54EA" w:rsidP="004A2A15">
      <w:pPr>
        <w:pStyle w:val="NormalWeb"/>
        <w:jc w:val="both"/>
        <w:rPr>
          <w:rFonts w:ascii="Calibri" w:hAnsi="Calibri"/>
          <w:sz w:val="28"/>
          <w:szCs w:val="28"/>
        </w:rPr>
      </w:pPr>
      <w:r>
        <w:rPr>
          <w:rFonts w:ascii="Calibri" w:hAnsi="Calibri"/>
          <w:sz w:val="28"/>
          <w:szCs w:val="28"/>
        </w:rPr>
        <w:t xml:space="preserve">- Caso </w:t>
      </w:r>
      <w:proofErr w:type="spellStart"/>
      <w:r>
        <w:rPr>
          <w:rFonts w:ascii="Calibri" w:hAnsi="Calibri"/>
          <w:sz w:val="28"/>
          <w:szCs w:val="28"/>
        </w:rPr>
        <w:t>faça</w:t>
      </w:r>
      <w:proofErr w:type="spellEnd"/>
      <w:r>
        <w:rPr>
          <w:rFonts w:ascii="Calibri" w:hAnsi="Calibri"/>
          <w:sz w:val="28"/>
          <w:szCs w:val="28"/>
        </w:rPr>
        <w:t xml:space="preserve"> uso de medicamentos </w:t>
      </w:r>
      <w:proofErr w:type="spellStart"/>
      <w:r>
        <w:rPr>
          <w:rFonts w:ascii="Calibri" w:hAnsi="Calibri"/>
          <w:sz w:val="28"/>
          <w:szCs w:val="28"/>
        </w:rPr>
        <w:t>contínuos</w:t>
      </w:r>
      <w:proofErr w:type="spellEnd"/>
      <w:r>
        <w:rPr>
          <w:rFonts w:ascii="Calibri" w:hAnsi="Calibri"/>
          <w:sz w:val="28"/>
          <w:szCs w:val="28"/>
        </w:rPr>
        <w:t xml:space="preserve">, podem ser deglutidos com um gole pequeno de </w:t>
      </w:r>
      <w:proofErr w:type="spellStart"/>
      <w:r>
        <w:rPr>
          <w:rFonts w:ascii="Calibri" w:hAnsi="Calibri"/>
          <w:sz w:val="28"/>
          <w:szCs w:val="28"/>
        </w:rPr>
        <w:t>água</w:t>
      </w:r>
      <w:proofErr w:type="spellEnd"/>
      <w:r>
        <w:rPr>
          <w:rFonts w:ascii="Calibri" w:hAnsi="Calibri"/>
          <w:sz w:val="28"/>
          <w:szCs w:val="28"/>
        </w:rPr>
        <w:t xml:space="preserve">. </w:t>
      </w:r>
      <w:r w:rsidR="00242495">
        <w:rPr>
          <w:rFonts w:ascii="Calibri" w:hAnsi="Calibri"/>
          <w:sz w:val="28"/>
          <w:szCs w:val="28"/>
        </w:rPr>
        <w:t xml:space="preserve"> Atenção para o uso de </w:t>
      </w:r>
      <w:proofErr w:type="spellStart"/>
      <w:r w:rsidR="00242495">
        <w:rPr>
          <w:rFonts w:ascii="Calibri" w:hAnsi="Calibri"/>
          <w:sz w:val="28"/>
          <w:szCs w:val="28"/>
        </w:rPr>
        <w:t>psicoestimulantes</w:t>
      </w:r>
      <w:proofErr w:type="spellEnd"/>
      <w:r w:rsidR="00242495">
        <w:rPr>
          <w:rFonts w:ascii="Calibri" w:hAnsi="Calibri"/>
          <w:sz w:val="28"/>
          <w:szCs w:val="28"/>
        </w:rPr>
        <w:t xml:space="preserve"> como RITALINA E VENVANSE. Caso você utilize algum destes medicamentos ou seus similares por favor avise a equipe médica</w:t>
      </w:r>
      <w:r w:rsidR="00B44BE7">
        <w:rPr>
          <w:rFonts w:ascii="Calibri" w:hAnsi="Calibri"/>
          <w:sz w:val="28"/>
          <w:szCs w:val="28"/>
        </w:rPr>
        <w:t xml:space="preserve"> com antecedência</w:t>
      </w:r>
      <w:r w:rsidR="00242495">
        <w:rPr>
          <w:rFonts w:ascii="Calibri" w:hAnsi="Calibri"/>
          <w:sz w:val="28"/>
          <w:szCs w:val="28"/>
        </w:rPr>
        <w:t>.</w:t>
      </w:r>
    </w:p>
    <w:tbl>
      <w:tblPr>
        <w:tblStyle w:val="Tabelacomgrade"/>
        <w:tblW w:w="0" w:type="auto"/>
        <w:tblInd w:w="2232" w:type="dxa"/>
        <w:tblLook w:val="04A0" w:firstRow="1" w:lastRow="0" w:firstColumn="1" w:lastColumn="0" w:noHBand="0" w:noVBand="1"/>
      </w:tblPr>
      <w:tblGrid>
        <w:gridCol w:w="4019"/>
      </w:tblGrid>
      <w:tr w:rsidR="00B44BE7" w:rsidTr="00B44BE7">
        <w:trPr>
          <w:trHeight w:val="899"/>
        </w:trPr>
        <w:tc>
          <w:tcPr>
            <w:tcW w:w="4019" w:type="dxa"/>
          </w:tcPr>
          <w:p w:rsidR="00B44BE7" w:rsidRPr="00B44BE7" w:rsidRDefault="00B44BE7" w:rsidP="004A2A15">
            <w:pPr>
              <w:pStyle w:val="NormalWeb"/>
              <w:jc w:val="both"/>
              <w:rPr>
                <w:rFonts w:ascii="Calibri" w:hAnsi="Calibri"/>
                <w:sz w:val="20"/>
                <w:szCs w:val="20"/>
              </w:rPr>
            </w:pPr>
            <w:r w:rsidRPr="00B44BE7">
              <w:rPr>
                <w:rFonts w:ascii="Calibri" w:hAnsi="Calibri"/>
                <w:sz w:val="20"/>
                <w:szCs w:val="20"/>
              </w:rPr>
              <w:t xml:space="preserve">Esses medicamentos podem sensibilizar o miocárdio (músculo do coração) e causar arritmias durante a anestesia. </w:t>
            </w:r>
          </w:p>
        </w:tc>
      </w:tr>
    </w:tbl>
    <w:p w:rsidR="00ED54EA" w:rsidRDefault="00ED54EA" w:rsidP="004A2A15">
      <w:pPr>
        <w:pStyle w:val="NormalWeb"/>
        <w:jc w:val="both"/>
      </w:pPr>
    </w:p>
    <w:p w:rsidR="00ED54EA" w:rsidRDefault="00ED54EA" w:rsidP="004A2A15">
      <w:pPr>
        <w:pStyle w:val="NormalWeb"/>
        <w:jc w:val="both"/>
        <w:rPr>
          <w:rFonts w:ascii="Calibri" w:hAnsi="Calibri"/>
          <w:sz w:val="28"/>
          <w:szCs w:val="28"/>
        </w:rPr>
      </w:pPr>
      <w:r>
        <w:rPr>
          <w:rFonts w:ascii="Calibri" w:hAnsi="Calibri"/>
          <w:sz w:val="28"/>
          <w:szCs w:val="28"/>
        </w:rPr>
        <w:t xml:space="preserve">- Para cirurgias eletivas, o paciente </w:t>
      </w:r>
      <w:proofErr w:type="spellStart"/>
      <w:r>
        <w:rPr>
          <w:rFonts w:ascii="Calibri" w:hAnsi="Calibri"/>
          <w:sz w:val="28"/>
          <w:szCs w:val="28"/>
        </w:rPr>
        <w:t>não</w:t>
      </w:r>
      <w:proofErr w:type="spellEnd"/>
      <w:r>
        <w:rPr>
          <w:rFonts w:ascii="Calibri" w:hAnsi="Calibri"/>
          <w:sz w:val="28"/>
          <w:szCs w:val="28"/>
        </w:rPr>
        <w:t xml:space="preserve"> deve estar gripado ou com outras </w:t>
      </w:r>
      <w:proofErr w:type="spellStart"/>
      <w:r>
        <w:rPr>
          <w:rFonts w:ascii="Calibri" w:hAnsi="Calibri"/>
          <w:sz w:val="28"/>
          <w:szCs w:val="28"/>
        </w:rPr>
        <w:t>infecções</w:t>
      </w:r>
      <w:proofErr w:type="spellEnd"/>
      <w:r>
        <w:rPr>
          <w:rFonts w:ascii="Calibri" w:hAnsi="Calibri"/>
          <w:sz w:val="28"/>
          <w:szCs w:val="28"/>
        </w:rPr>
        <w:t xml:space="preserve"> ativas, nem com </w:t>
      </w:r>
      <w:proofErr w:type="spellStart"/>
      <w:r>
        <w:rPr>
          <w:rFonts w:ascii="Calibri" w:hAnsi="Calibri"/>
          <w:sz w:val="28"/>
          <w:szCs w:val="28"/>
        </w:rPr>
        <w:t>exacerbação</w:t>
      </w:r>
      <w:proofErr w:type="spellEnd"/>
      <w:r>
        <w:rPr>
          <w:rFonts w:ascii="Calibri" w:hAnsi="Calibri"/>
          <w:sz w:val="28"/>
          <w:szCs w:val="28"/>
        </w:rPr>
        <w:t xml:space="preserve"> de </w:t>
      </w:r>
      <w:proofErr w:type="spellStart"/>
      <w:r>
        <w:rPr>
          <w:rFonts w:ascii="Calibri" w:hAnsi="Calibri"/>
          <w:sz w:val="28"/>
          <w:szCs w:val="28"/>
        </w:rPr>
        <w:t>doenças</w:t>
      </w:r>
      <w:proofErr w:type="spellEnd"/>
      <w:r>
        <w:rPr>
          <w:rFonts w:ascii="Calibri" w:hAnsi="Calibri"/>
          <w:sz w:val="28"/>
          <w:szCs w:val="28"/>
        </w:rPr>
        <w:t xml:space="preserve"> </w:t>
      </w:r>
      <w:proofErr w:type="spellStart"/>
      <w:r>
        <w:rPr>
          <w:rFonts w:ascii="Calibri" w:hAnsi="Calibri"/>
          <w:sz w:val="28"/>
          <w:szCs w:val="28"/>
        </w:rPr>
        <w:t>alérgicas</w:t>
      </w:r>
      <w:proofErr w:type="spellEnd"/>
      <w:r>
        <w:rPr>
          <w:rFonts w:ascii="Calibri" w:hAnsi="Calibri"/>
          <w:sz w:val="28"/>
          <w:szCs w:val="28"/>
        </w:rPr>
        <w:t xml:space="preserve"> (principalmente asma). </w:t>
      </w:r>
      <w:r w:rsidR="00F862C3">
        <w:rPr>
          <w:rFonts w:ascii="Calibri" w:hAnsi="Calibri"/>
          <w:sz w:val="28"/>
          <w:szCs w:val="28"/>
        </w:rPr>
        <w:t xml:space="preserve"> </w:t>
      </w:r>
    </w:p>
    <w:p w:rsidR="00664752" w:rsidRPr="00664752" w:rsidRDefault="00664752" w:rsidP="004A2A15">
      <w:pPr>
        <w:pStyle w:val="NormalWeb"/>
        <w:jc w:val="both"/>
      </w:pPr>
      <w:r>
        <w:rPr>
          <w:rFonts w:ascii="Calibri" w:hAnsi="Calibri"/>
          <w:sz w:val="28"/>
          <w:szCs w:val="28"/>
        </w:rPr>
        <w:t xml:space="preserve">- Leve ao bloco </w:t>
      </w:r>
      <w:proofErr w:type="spellStart"/>
      <w:r>
        <w:rPr>
          <w:rFonts w:ascii="Calibri" w:hAnsi="Calibri"/>
          <w:sz w:val="28"/>
          <w:szCs w:val="28"/>
        </w:rPr>
        <w:t>cirúrgico</w:t>
      </w:r>
      <w:proofErr w:type="spellEnd"/>
      <w:r>
        <w:rPr>
          <w:rFonts w:ascii="Calibri" w:hAnsi="Calibri"/>
          <w:sz w:val="28"/>
          <w:szCs w:val="28"/>
        </w:rPr>
        <w:t xml:space="preserve"> seus exames </w:t>
      </w:r>
      <w:proofErr w:type="spellStart"/>
      <w:r>
        <w:rPr>
          <w:rFonts w:ascii="Calibri" w:hAnsi="Calibri"/>
          <w:sz w:val="28"/>
          <w:szCs w:val="28"/>
        </w:rPr>
        <w:t>pre</w:t>
      </w:r>
      <w:proofErr w:type="spellEnd"/>
      <w:r>
        <w:rPr>
          <w:rFonts w:ascii="Calibri" w:hAnsi="Calibri"/>
          <w:sz w:val="28"/>
          <w:szCs w:val="28"/>
        </w:rPr>
        <w:t>́-</w:t>
      </w:r>
      <w:proofErr w:type="spellStart"/>
      <w:r>
        <w:rPr>
          <w:rFonts w:ascii="Calibri" w:hAnsi="Calibri"/>
          <w:sz w:val="28"/>
          <w:szCs w:val="28"/>
        </w:rPr>
        <w:t>operatórios</w:t>
      </w:r>
      <w:proofErr w:type="spellEnd"/>
      <w:r>
        <w:rPr>
          <w:rFonts w:ascii="Calibri" w:hAnsi="Calibri"/>
          <w:sz w:val="28"/>
          <w:szCs w:val="28"/>
        </w:rPr>
        <w:t xml:space="preserve">. Eles </w:t>
      </w:r>
      <w:proofErr w:type="spellStart"/>
      <w:r>
        <w:rPr>
          <w:rFonts w:ascii="Calibri" w:hAnsi="Calibri"/>
          <w:sz w:val="28"/>
          <w:szCs w:val="28"/>
        </w:rPr>
        <w:t>serão</w:t>
      </w:r>
      <w:proofErr w:type="spellEnd"/>
      <w:r>
        <w:rPr>
          <w:rFonts w:ascii="Calibri" w:hAnsi="Calibri"/>
          <w:sz w:val="28"/>
          <w:szCs w:val="28"/>
        </w:rPr>
        <w:t xml:space="preserve"> revisados antes da sua cirurgia. Algumas vezes não é necessário realizar exames antes do procedimento (procedimentos pequenos em pacientes saudáveis). Caso você tenha alguma dúvida entre em contato com sua equipe! </w:t>
      </w:r>
    </w:p>
    <w:p w:rsidR="00664752" w:rsidRDefault="00664752" w:rsidP="004A2A15">
      <w:pPr>
        <w:pStyle w:val="NormalWeb"/>
        <w:jc w:val="both"/>
        <w:rPr>
          <w:rFonts w:ascii="Calibri" w:hAnsi="Calibri"/>
          <w:sz w:val="28"/>
          <w:szCs w:val="28"/>
        </w:rPr>
      </w:pPr>
    </w:p>
    <w:p w:rsidR="00664752" w:rsidRDefault="00664752" w:rsidP="004A2A15">
      <w:pPr>
        <w:pStyle w:val="NormalWeb"/>
        <w:jc w:val="both"/>
        <w:rPr>
          <w:rFonts w:ascii="Calibri" w:hAnsi="Calibri"/>
          <w:sz w:val="28"/>
          <w:szCs w:val="28"/>
        </w:rPr>
      </w:pPr>
    </w:p>
    <w:tbl>
      <w:tblPr>
        <w:tblStyle w:val="Tabelacomgrade"/>
        <w:tblW w:w="0" w:type="auto"/>
        <w:tblLook w:val="04A0" w:firstRow="1" w:lastRow="0" w:firstColumn="1" w:lastColumn="0" w:noHBand="0" w:noVBand="1"/>
      </w:tblPr>
      <w:tblGrid>
        <w:gridCol w:w="8488"/>
      </w:tblGrid>
      <w:tr w:rsidR="00F862C3" w:rsidTr="00F862C3">
        <w:tc>
          <w:tcPr>
            <w:tcW w:w="8488" w:type="dxa"/>
          </w:tcPr>
          <w:p w:rsidR="00F862C3" w:rsidRPr="00F862C3" w:rsidRDefault="00F862C3" w:rsidP="00F862C3">
            <w:pPr>
              <w:pStyle w:val="NormalWeb"/>
              <w:jc w:val="center"/>
              <w:rPr>
                <w:rFonts w:asciiTheme="minorHAnsi" w:hAnsiTheme="minorHAnsi" w:cstheme="minorHAnsi"/>
                <w:sz w:val="20"/>
                <w:szCs w:val="20"/>
              </w:rPr>
            </w:pPr>
            <w:r w:rsidRPr="00F862C3">
              <w:rPr>
                <w:rFonts w:asciiTheme="minorHAnsi" w:hAnsiTheme="minorHAnsi" w:cstheme="minorHAnsi"/>
                <w:sz w:val="20"/>
                <w:szCs w:val="20"/>
              </w:rPr>
              <w:t>Por que não devemos anestesiar pessoas com infecções?</w:t>
            </w:r>
          </w:p>
          <w:p w:rsidR="00F862C3" w:rsidRDefault="00F862C3" w:rsidP="004A2A15">
            <w:pPr>
              <w:pStyle w:val="NormalWeb"/>
              <w:jc w:val="both"/>
            </w:pPr>
            <w:r w:rsidRPr="00F862C3">
              <w:rPr>
                <w:rFonts w:asciiTheme="minorHAnsi" w:hAnsiTheme="minorHAnsi" w:cstheme="minorHAnsi"/>
                <w:sz w:val="20"/>
                <w:szCs w:val="20"/>
              </w:rPr>
              <w:t>- O período pós-operatório é um momento em que o organismo mobiliza toda energia para garantir a cicatrização do corpo. Em pessoas com infecções pode haver exacerbação dos sintomas, piora do quadro geral inclusive dificultando a própria cicatrização.</w:t>
            </w:r>
            <w:r w:rsidR="00A426C9">
              <w:rPr>
                <w:rFonts w:asciiTheme="minorHAnsi" w:hAnsiTheme="minorHAnsi" w:cstheme="minorHAnsi"/>
                <w:sz w:val="20"/>
                <w:szCs w:val="20"/>
              </w:rPr>
              <w:t xml:space="preserve">  </w:t>
            </w:r>
            <w:r w:rsidRPr="00F862C3">
              <w:rPr>
                <w:rFonts w:asciiTheme="minorHAnsi" w:hAnsiTheme="minorHAnsi" w:cstheme="minorHAnsi"/>
                <w:sz w:val="20"/>
                <w:szCs w:val="20"/>
              </w:rPr>
              <w:br/>
              <w:t xml:space="preserve">- No caso de infecções de vias aéreas pode haver aumento da área comprometida levando a pneumonia. Nas pessoas mais debilitadas essa condição pode dificultar a </w:t>
            </w:r>
            <w:proofErr w:type="spellStart"/>
            <w:r w:rsidRPr="00F862C3">
              <w:rPr>
                <w:rFonts w:asciiTheme="minorHAnsi" w:hAnsiTheme="minorHAnsi" w:cstheme="minorHAnsi"/>
                <w:sz w:val="20"/>
                <w:szCs w:val="20"/>
              </w:rPr>
              <w:t>extubação</w:t>
            </w:r>
            <w:proofErr w:type="spellEnd"/>
            <w:r w:rsidRPr="00F862C3">
              <w:rPr>
                <w:rFonts w:asciiTheme="minorHAnsi" w:hAnsiTheme="minorHAnsi" w:cstheme="minorHAnsi"/>
                <w:sz w:val="20"/>
                <w:szCs w:val="20"/>
              </w:rPr>
              <w:t xml:space="preserve"> (retirar o tubo utilizado na intubação traqueal - anestesia geral) e demandar maior tempo de ventilação mecânica. </w:t>
            </w:r>
            <w:r w:rsidRPr="00F862C3">
              <w:rPr>
                <w:rFonts w:asciiTheme="minorHAnsi" w:hAnsiTheme="minorHAnsi" w:cstheme="minorHAnsi"/>
                <w:sz w:val="20"/>
                <w:szCs w:val="20"/>
              </w:rPr>
              <w:br/>
              <w:t>- Em caso de cirurgias com uso de próteses os germes presentes na infecção podem se instalar na prótese (mesmo que seja utilizado adequadamente protocolos de profilaxia com antibiótico)</w:t>
            </w:r>
          </w:p>
        </w:tc>
      </w:tr>
    </w:tbl>
    <w:p w:rsidR="00664752" w:rsidRDefault="00664752" w:rsidP="004A2A15">
      <w:pPr>
        <w:pStyle w:val="NormalWeb"/>
        <w:jc w:val="both"/>
        <w:rPr>
          <w:rFonts w:ascii="Calibri" w:hAnsi="Calibri"/>
          <w:sz w:val="28"/>
          <w:szCs w:val="28"/>
        </w:rPr>
      </w:pPr>
    </w:p>
    <w:p w:rsidR="00ED54EA" w:rsidRDefault="00ED54EA" w:rsidP="004A2A15">
      <w:pPr>
        <w:pStyle w:val="NormalWeb"/>
        <w:jc w:val="both"/>
      </w:pPr>
      <w:r>
        <w:rPr>
          <w:rFonts w:ascii="Calibri" w:hAnsi="Calibri"/>
          <w:sz w:val="28"/>
          <w:szCs w:val="28"/>
        </w:rPr>
        <w:t xml:space="preserve">- Caso </w:t>
      </w:r>
      <w:proofErr w:type="spellStart"/>
      <w:r>
        <w:rPr>
          <w:rFonts w:ascii="Calibri" w:hAnsi="Calibri"/>
          <w:sz w:val="28"/>
          <w:szCs w:val="28"/>
        </w:rPr>
        <w:t>voce</w:t>
      </w:r>
      <w:proofErr w:type="spellEnd"/>
      <w:r>
        <w:rPr>
          <w:rFonts w:ascii="Calibri" w:hAnsi="Calibri"/>
          <w:sz w:val="28"/>
          <w:szCs w:val="28"/>
        </w:rPr>
        <w:t xml:space="preserve">̂ tenha uma </w:t>
      </w:r>
      <w:proofErr w:type="spellStart"/>
      <w:r>
        <w:rPr>
          <w:rFonts w:ascii="Calibri" w:hAnsi="Calibri"/>
          <w:sz w:val="28"/>
          <w:szCs w:val="28"/>
        </w:rPr>
        <w:t>doença</w:t>
      </w:r>
      <w:proofErr w:type="spellEnd"/>
      <w:r>
        <w:rPr>
          <w:rFonts w:ascii="Calibri" w:hAnsi="Calibri"/>
          <w:sz w:val="28"/>
          <w:szCs w:val="28"/>
        </w:rPr>
        <w:t xml:space="preserve"> </w:t>
      </w:r>
      <w:proofErr w:type="spellStart"/>
      <w:r>
        <w:rPr>
          <w:rFonts w:ascii="Calibri" w:hAnsi="Calibri"/>
          <w:sz w:val="28"/>
          <w:szCs w:val="28"/>
        </w:rPr>
        <w:t>específica</w:t>
      </w:r>
      <w:proofErr w:type="spellEnd"/>
      <w:r>
        <w:rPr>
          <w:rFonts w:ascii="Calibri" w:hAnsi="Calibri"/>
          <w:sz w:val="28"/>
          <w:szCs w:val="28"/>
        </w:rPr>
        <w:t xml:space="preserve"> e </w:t>
      </w:r>
      <w:proofErr w:type="spellStart"/>
      <w:r>
        <w:rPr>
          <w:rFonts w:ascii="Calibri" w:hAnsi="Calibri"/>
          <w:sz w:val="28"/>
          <w:szCs w:val="28"/>
        </w:rPr>
        <w:t>faça</w:t>
      </w:r>
      <w:proofErr w:type="spellEnd"/>
      <w:r>
        <w:rPr>
          <w:rFonts w:ascii="Calibri" w:hAnsi="Calibri"/>
          <w:sz w:val="28"/>
          <w:szCs w:val="28"/>
        </w:rPr>
        <w:t xml:space="preserve"> acompanhamento </w:t>
      </w:r>
      <w:proofErr w:type="spellStart"/>
      <w:r>
        <w:rPr>
          <w:rFonts w:ascii="Calibri" w:hAnsi="Calibri"/>
          <w:sz w:val="28"/>
          <w:szCs w:val="28"/>
        </w:rPr>
        <w:t>contínuo</w:t>
      </w:r>
      <w:proofErr w:type="spellEnd"/>
      <w:r>
        <w:rPr>
          <w:rFonts w:ascii="Calibri" w:hAnsi="Calibri"/>
          <w:sz w:val="28"/>
          <w:szCs w:val="28"/>
        </w:rPr>
        <w:t xml:space="preserve"> com um </w:t>
      </w:r>
      <w:proofErr w:type="spellStart"/>
      <w:r>
        <w:rPr>
          <w:rFonts w:ascii="Calibri" w:hAnsi="Calibri"/>
          <w:sz w:val="28"/>
          <w:szCs w:val="28"/>
        </w:rPr>
        <w:t>médico</w:t>
      </w:r>
      <w:proofErr w:type="spellEnd"/>
      <w:r>
        <w:rPr>
          <w:rFonts w:ascii="Calibri" w:hAnsi="Calibri"/>
          <w:sz w:val="28"/>
          <w:szCs w:val="28"/>
        </w:rPr>
        <w:t xml:space="preserve"> especialista (pneumologista ou cardiologista), o ideal é agendar uma consulta com esse profissional </w:t>
      </w:r>
      <w:r w:rsidRPr="00664752">
        <w:rPr>
          <w:rFonts w:ascii="Calibri" w:hAnsi="Calibri"/>
          <w:b/>
          <w:sz w:val="28"/>
          <w:szCs w:val="28"/>
          <w:u w:val="single"/>
        </w:rPr>
        <w:t>antes</w:t>
      </w:r>
      <w:r>
        <w:rPr>
          <w:rFonts w:ascii="Calibri" w:hAnsi="Calibri"/>
          <w:sz w:val="28"/>
          <w:szCs w:val="28"/>
        </w:rPr>
        <w:t xml:space="preserve"> da cirurgia e levar uma carta com a </w:t>
      </w:r>
      <w:proofErr w:type="spellStart"/>
      <w:r>
        <w:rPr>
          <w:rFonts w:ascii="Calibri" w:hAnsi="Calibri"/>
          <w:sz w:val="28"/>
          <w:szCs w:val="28"/>
        </w:rPr>
        <w:t>liberação</w:t>
      </w:r>
      <w:proofErr w:type="spellEnd"/>
      <w:r>
        <w:rPr>
          <w:rFonts w:ascii="Calibri" w:hAnsi="Calibri"/>
          <w:sz w:val="28"/>
          <w:szCs w:val="28"/>
        </w:rPr>
        <w:t xml:space="preserve"> para o procedimento e se </w:t>
      </w:r>
      <w:proofErr w:type="spellStart"/>
      <w:r>
        <w:rPr>
          <w:rFonts w:ascii="Calibri" w:hAnsi="Calibri"/>
          <w:sz w:val="28"/>
          <w:szCs w:val="28"/>
        </w:rPr>
        <w:t>necessário</w:t>
      </w:r>
      <w:proofErr w:type="spellEnd"/>
      <w:r>
        <w:rPr>
          <w:rFonts w:ascii="Calibri" w:hAnsi="Calibri"/>
          <w:sz w:val="28"/>
          <w:szCs w:val="28"/>
        </w:rPr>
        <w:t xml:space="preserve">, </w:t>
      </w:r>
      <w:proofErr w:type="spellStart"/>
      <w:r>
        <w:rPr>
          <w:rFonts w:ascii="Calibri" w:hAnsi="Calibri"/>
          <w:sz w:val="28"/>
          <w:szCs w:val="28"/>
        </w:rPr>
        <w:t>orientações</w:t>
      </w:r>
      <w:proofErr w:type="spellEnd"/>
      <w:r>
        <w:rPr>
          <w:rFonts w:ascii="Calibri" w:hAnsi="Calibri"/>
          <w:sz w:val="28"/>
          <w:szCs w:val="28"/>
        </w:rPr>
        <w:t xml:space="preserve"> sobre algum cuidado </w:t>
      </w:r>
      <w:proofErr w:type="spellStart"/>
      <w:r>
        <w:rPr>
          <w:rFonts w:ascii="Calibri" w:hAnsi="Calibri"/>
          <w:sz w:val="28"/>
          <w:szCs w:val="28"/>
        </w:rPr>
        <w:t>específico</w:t>
      </w:r>
      <w:proofErr w:type="spellEnd"/>
      <w:r>
        <w:rPr>
          <w:rFonts w:ascii="Calibri" w:hAnsi="Calibri"/>
          <w:sz w:val="28"/>
          <w:szCs w:val="28"/>
        </w:rPr>
        <w:t xml:space="preserve"> que deveremos ter ao longo da cirurgia/anestesia. </w:t>
      </w:r>
    </w:p>
    <w:p w:rsidR="00ED54EA" w:rsidRDefault="00ED54EA" w:rsidP="004A2A15">
      <w:pPr>
        <w:pStyle w:val="NormalWeb"/>
        <w:jc w:val="both"/>
      </w:pPr>
      <w:r>
        <w:rPr>
          <w:rFonts w:ascii="Calibri" w:hAnsi="Calibri"/>
          <w:sz w:val="28"/>
          <w:szCs w:val="28"/>
        </w:rPr>
        <w:t xml:space="preserve">- Leve anotado o nome, dosagem e </w:t>
      </w:r>
      <w:proofErr w:type="spellStart"/>
      <w:r>
        <w:rPr>
          <w:rFonts w:ascii="Calibri" w:hAnsi="Calibri"/>
          <w:sz w:val="28"/>
          <w:szCs w:val="28"/>
        </w:rPr>
        <w:t>horário</w:t>
      </w:r>
      <w:proofErr w:type="spellEnd"/>
      <w:r>
        <w:rPr>
          <w:rFonts w:ascii="Calibri" w:hAnsi="Calibri"/>
          <w:sz w:val="28"/>
          <w:szCs w:val="28"/>
        </w:rPr>
        <w:t xml:space="preserve"> das </w:t>
      </w:r>
      <w:proofErr w:type="spellStart"/>
      <w:r>
        <w:rPr>
          <w:rFonts w:ascii="Calibri" w:hAnsi="Calibri"/>
          <w:sz w:val="28"/>
          <w:szCs w:val="28"/>
        </w:rPr>
        <w:t>medicações</w:t>
      </w:r>
      <w:proofErr w:type="spellEnd"/>
      <w:r>
        <w:rPr>
          <w:rFonts w:ascii="Calibri" w:hAnsi="Calibri"/>
          <w:sz w:val="28"/>
          <w:szCs w:val="28"/>
        </w:rPr>
        <w:t xml:space="preserve"> em uso. </w:t>
      </w:r>
    </w:p>
    <w:p w:rsidR="00242495" w:rsidRDefault="00ED54EA" w:rsidP="004A2A15">
      <w:pPr>
        <w:pStyle w:val="NormalWeb"/>
        <w:jc w:val="both"/>
      </w:pPr>
      <w:r>
        <w:rPr>
          <w:rFonts w:ascii="Calibri" w:hAnsi="Calibri"/>
          <w:sz w:val="28"/>
          <w:szCs w:val="28"/>
        </w:rPr>
        <w:t xml:space="preserve">- Caso </w:t>
      </w:r>
      <w:proofErr w:type="spellStart"/>
      <w:r>
        <w:rPr>
          <w:rFonts w:ascii="Calibri" w:hAnsi="Calibri"/>
          <w:sz w:val="28"/>
          <w:szCs w:val="28"/>
        </w:rPr>
        <w:t>voce</w:t>
      </w:r>
      <w:proofErr w:type="spellEnd"/>
      <w:r>
        <w:rPr>
          <w:rFonts w:ascii="Calibri" w:hAnsi="Calibri"/>
          <w:sz w:val="28"/>
          <w:szCs w:val="28"/>
        </w:rPr>
        <w:t xml:space="preserve">̂ use medicamentos anticoagulantes de qualquer tipo, informe a equipe </w:t>
      </w:r>
      <w:proofErr w:type="spellStart"/>
      <w:r>
        <w:rPr>
          <w:rFonts w:ascii="Calibri" w:hAnsi="Calibri"/>
          <w:sz w:val="28"/>
          <w:szCs w:val="28"/>
        </w:rPr>
        <w:t>médica</w:t>
      </w:r>
      <w:proofErr w:type="spellEnd"/>
      <w:r>
        <w:rPr>
          <w:rFonts w:ascii="Calibri" w:hAnsi="Calibri"/>
          <w:sz w:val="28"/>
          <w:szCs w:val="28"/>
        </w:rPr>
        <w:t xml:space="preserve">. Alguns deles precisam ser suspensos </w:t>
      </w:r>
      <w:proofErr w:type="spellStart"/>
      <w:r>
        <w:rPr>
          <w:rFonts w:ascii="Calibri" w:hAnsi="Calibri"/>
          <w:sz w:val="28"/>
          <w:szCs w:val="28"/>
        </w:rPr>
        <w:t>vários</w:t>
      </w:r>
      <w:proofErr w:type="spellEnd"/>
      <w:r>
        <w:rPr>
          <w:rFonts w:ascii="Calibri" w:hAnsi="Calibri"/>
          <w:sz w:val="28"/>
          <w:szCs w:val="28"/>
        </w:rPr>
        <w:t xml:space="preserve"> dias antes da cirurgia.</w:t>
      </w:r>
      <w:r w:rsidR="006D7F06">
        <w:rPr>
          <w:rFonts w:ascii="Calibri" w:hAnsi="Calibri"/>
          <w:sz w:val="28"/>
          <w:szCs w:val="28"/>
        </w:rPr>
        <w:t xml:space="preserve"> Atenção também para </w:t>
      </w:r>
      <w:proofErr w:type="spellStart"/>
      <w:r w:rsidR="006D7F06">
        <w:rPr>
          <w:rFonts w:ascii="Calibri" w:hAnsi="Calibri"/>
          <w:sz w:val="28"/>
          <w:szCs w:val="28"/>
        </w:rPr>
        <w:t>psicoestimulantes</w:t>
      </w:r>
      <w:proofErr w:type="spellEnd"/>
      <w:r w:rsidR="006D7F06">
        <w:rPr>
          <w:rFonts w:ascii="Calibri" w:hAnsi="Calibri"/>
          <w:sz w:val="28"/>
          <w:szCs w:val="28"/>
        </w:rPr>
        <w:t>, antidiabéticos, chás e suplementos naturais.</w:t>
      </w:r>
      <w:r w:rsidR="006D7F06">
        <w:rPr>
          <w:rFonts w:ascii="Calibri" w:hAnsi="Calibri"/>
          <w:sz w:val="28"/>
          <w:szCs w:val="28"/>
        </w:rPr>
        <w:tab/>
      </w:r>
      <w:r w:rsidR="00242495">
        <w:rPr>
          <w:rFonts w:ascii="Calibri" w:hAnsi="Calibri"/>
          <w:sz w:val="28"/>
          <w:szCs w:val="28"/>
        </w:rPr>
        <w:br/>
      </w:r>
      <w:r w:rsidR="00242495">
        <w:rPr>
          <w:rFonts w:ascii="Calibri" w:hAnsi="Calibri"/>
          <w:sz w:val="28"/>
          <w:szCs w:val="28"/>
        </w:rPr>
        <w:br/>
      </w:r>
    </w:p>
    <w:tbl>
      <w:tblPr>
        <w:tblStyle w:val="Tabelacomgrade"/>
        <w:tblW w:w="0" w:type="auto"/>
        <w:tblLook w:val="04A0" w:firstRow="1" w:lastRow="0" w:firstColumn="1" w:lastColumn="0" w:noHBand="0" w:noVBand="1"/>
      </w:tblPr>
      <w:tblGrid>
        <w:gridCol w:w="8488"/>
      </w:tblGrid>
      <w:tr w:rsidR="00242495" w:rsidTr="00242495">
        <w:tc>
          <w:tcPr>
            <w:tcW w:w="8488" w:type="dxa"/>
          </w:tcPr>
          <w:p w:rsidR="00242495" w:rsidRDefault="00242495" w:rsidP="00242495">
            <w:pPr>
              <w:pStyle w:val="NormalWeb"/>
              <w:jc w:val="both"/>
            </w:pPr>
            <w:r>
              <w:t xml:space="preserve">São </w:t>
            </w:r>
            <w:r w:rsidRPr="00976253">
              <w:rPr>
                <w:b/>
                <w:u w:val="single"/>
              </w:rPr>
              <w:t>anticoagulantes</w:t>
            </w:r>
            <w:r>
              <w:t>:</w:t>
            </w:r>
          </w:p>
          <w:p w:rsidR="00B917FA" w:rsidRDefault="00242495" w:rsidP="00242495">
            <w:pPr>
              <w:pStyle w:val="NormalWeb"/>
              <w:jc w:val="both"/>
            </w:pPr>
            <w:r>
              <w:br/>
              <w:t xml:space="preserve">Aspirina, </w:t>
            </w:r>
            <w:proofErr w:type="spellStart"/>
            <w:r>
              <w:t>ticlopidina</w:t>
            </w:r>
            <w:proofErr w:type="spellEnd"/>
            <w:r>
              <w:t xml:space="preserve"> (</w:t>
            </w:r>
            <w:proofErr w:type="spellStart"/>
            <w:r>
              <w:t>Ticlid</w:t>
            </w:r>
            <w:proofErr w:type="spellEnd"/>
            <w:r>
              <w:t xml:space="preserve">), </w:t>
            </w:r>
            <w:proofErr w:type="spellStart"/>
            <w:r>
              <w:t>clopidogrel</w:t>
            </w:r>
            <w:proofErr w:type="spellEnd"/>
            <w:r>
              <w:t xml:space="preserve"> (</w:t>
            </w:r>
            <w:proofErr w:type="spellStart"/>
            <w:r>
              <w:t>Plavix</w:t>
            </w:r>
            <w:proofErr w:type="spellEnd"/>
            <w:r>
              <w:t xml:space="preserve">), </w:t>
            </w:r>
            <w:proofErr w:type="spellStart"/>
            <w:r>
              <w:t>prasugrel</w:t>
            </w:r>
            <w:proofErr w:type="spellEnd"/>
            <w:r>
              <w:t xml:space="preserve"> (</w:t>
            </w:r>
            <w:proofErr w:type="spellStart"/>
            <w:r>
              <w:t>Efient</w:t>
            </w:r>
            <w:proofErr w:type="spellEnd"/>
            <w:r>
              <w:t xml:space="preserve">), </w:t>
            </w:r>
            <w:proofErr w:type="spellStart"/>
            <w:r>
              <w:t>ticagrelol</w:t>
            </w:r>
            <w:proofErr w:type="spellEnd"/>
            <w:r>
              <w:t xml:space="preserve">, </w:t>
            </w:r>
            <w:proofErr w:type="spellStart"/>
            <w:r>
              <w:t>cangrelor</w:t>
            </w:r>
            <w:proofErr w:type="spellEnd"/>
            <w:r>
              <w:t xml:space="preserve">, </w:t>
            </w:r>
            <w:proofErr w:type="spellStart"/>
            <w:r>
              <w:t>abciximab</w:t>
            </w:r>
            <w:proofErr w:type="spellEnd"/>
            <w:r>
              <w:t xml:space="preserve">, </w:t>
            </w:r>
            <w:proofErr w:type="spellStart"/>
            <w:r>
              <w:t>eptifibatide</w:t>
            </w:r>
            <w:proofErr w:type="spellEnd"/>
            <w:r>
              <w:t xml:space="preserve">, </w:t>
            </w:r>
            <w:proofErr w:type="spellStart"/>
            <w:r>
              <w:t>tirofiban</w:t>
            </w:r>
            <w:proofErr w:type="spellEnd"/>
            <w:r>
              <w:t>, dipiridamol (</w:t>
            </w:r>
            <w:proofErr w:type="spellStart"/>
            <w:r>
              <w:t>Persantin</w:t>
            </w:r>
            <w:proofErr w:type="spellEnd"/>
            <w:r>
              <w:t xml:space="preserve">), </w:t>
            </w:r>
            <w:proofErr w:type="spellStart"/>
            <w:r>
              <w:t>cilostazol</w:t>
            </w:r>
            <w:proofErr w:type="spellEnd"/>
            <w:r>
              <w:t xml:space="preserve"> (</w:t>
            </w:r>
            <w:proofErr w:type="spellStart"/>
            <w:r>
              <w:t>Vasogard</w:t>
            </w:r>
            <w:proofErr w:type="spellEnd"/>
            <w:r>
              <w:t xml:space="preserve">, </w:t>
            </w:r>
            <w:proofErr w:type="spellStart"/>
            <w:r>
              <w:t>Pletal</w:t>
            </w:r>
            <w:proofErr w:type="spellEnd"/>
            <w:r>
              <w:t xml:space="preserve">, </w:t>
            </w:r>
            <w:proofErr w:type="spellStart"/>
            <w:r>
              <w:t>Cebralat</w:t>
            </w:r>
            <w:proofErr w:type="spellEnd"/>
            <w:r>
              <w:t xml:space="preserve">), heparinas, </w:t>
            </w:r>
            <w:proofErr w:type="spellStart"/>
            <w:r>
              <w:t>fondaparinux</w:t>
            </w:r>
            <w:proofErr w:type="spellEnd"/>
            <w:r>
              <w:t xml:space="preserve">, </w:t>
            </w:r>
            <w:proofErr w:type="spellStart"/>
            <w:r>
              <w:t>rivaroxabana</w:t>
            </w:r>
            <w:proofErr w:type="spellEnd"/>
            <w:r>
              <w:t xml:space="preserve"> (</w:t>
            </w:r>
            <w:proofErr w:type="spellStart"/>
            <w:r>
              <w:t>Xarelto</w:t>
            </w:r>
            <w:proofErr w:type="spellEnd"/>
            <w:r>
              <w:t xml:space="preserve">), </w:t>
            </w:r>
            <w:proofErr w:type="spellStart"/>
            <w:r>
              <w:t>apixabana</w:t>
            </w:r>
            <w:proofErr w:type="spellEnd"/>
            <w:r>
              <w:t xml:space="preserve"> (</w:t>
            </w:r>
            <w:proofErr w:type="spellStart"/>
            <w:r>
              <w:t>Eliquis</w:t>
            </w:r>
            <w:proofErr w:type="spellEnd"/>
            <w:r>
              <w:t xml:space="preserve">), </w:t>
            </w:r>
            <w:proofErr w:type="spellStart"/>
            <w:r>
              <w:t>edoxabana</w:t>
            </w:r>
            <w:proofErr w:type="spellEnd"/>
            <w:r>
              <w:t xml:space="preserve"> (</w:t>
            </w:r>
            <w:proofErr w:type="spellStart"/>
            <w:r>
              <w:t>Lixiana</w:t>
            </w:r>
            <w:proofErr w:type="spellEnd"/>
            <w:r>
              <w:t xml:space="preserve">, </w:t>
            </w:r>
            <w:proofErr w:type="spellStart"/>
            <w:r>
              <w:t>Savaysa</w:t>
            </w:r>
            <w:proofErr w:type="spellEnd"/>
            <w:r>
              <w:t xml:space="preserve">), </w:t>
            </w:r>
            <w:proofErr w:type="spellStart"/>
            <w:r>
              <w:t>betrixabana</w:t>
            </w:r>
            <w:proofErr w:type="spellEnd"/>
            <w:r>
              <w:t xml:space="preserve">, </w:t>
            </w:r>
            <w:proofErr w:type="spellStart"/>
            <w:r>
              <w:t>desirudin</w:t>
            </w:r>
            <w:proofErr w:type="spellEnd"/>
            <w:r>
              <w:t xml:space="preserve">, </w:t>
            </w:r>
            <w:proofErr w:type="spellStart"/>
            <w:r>
              <w:t>bivalirudin</w:t>
            </w:r>
            <w:proofErr w:type="spellEnd"/>
            <w:r>
              <w:t xml:space="preserve">, </w:t>
            </w:r>
            <w:proofErr w:type="spellStart"/>
            <w:r>
              <w:t>argotrobana</w:t>
            </w:r>
            <w:proofErr w:type="spellEnd"/>
            <w:r>
              <w:t xml:space="preserve">, </w:t>
            </w:r>
            <w:proofErr w:type="spellStart"/>
            <w:r>
              <w:t>Ginko</w:t>
            </w:r>
            <w:proofErr w:type="spellEnd"/>
            <w:r>
              <w:t xml:space="preserve"> </w:t>
            </w:r>
            <w:proofErr w:type="spellStart"/>
            <w:r>
              <w:t>Biloba</w:t>
            </w:r>
            <w:proofErr w:type="spellEnd"/>
            <w:r>
              <w:t xml:space="preserve">, </w:t>
            </w:r>
            <w:proofErr w:type="spellStart"/>
            <w:r>
              <w:t>Ginseng</w:t>
            </w:r>
            <w:proofErr w:type="spellEnd"/>
            <w:r>
              <w:t xml:space="preserve"> e Alho.</w:t>
            </w:r>
          </w:p>
          <w:p w:rsidR="00B917FA" w:rsidRDefault="00B917FA" w:rsidP="00242495">
            <w:pPr>
              <w:pStyle w:val="NormalWeb"/>
              <w:jc w:val="both"/>
            </w:pPr>
          </w:p>
          <w:p w:rsidR="00604356" w:rsidRDefault="00B917FA" w:rsidP="00242495">
            <w:pPr>
              <w:pStyle w:val="NormalWeb"/>
              <w:jc w:val="both"/>
            </w:pPr>
            <w:proofErr w:type="spellStart"/>
            <w:r w:rsidRPr="00976253">
              <w:rPr>
                <w:b/>
                <w:u w:val="single"/>
              </w:rPr>
              <w:t>Psicoestimulantes</w:t>
            </w:r>
            <w:proofErr w:type="spellEnd"/>
            <w:r>
              <w:t>:</w:t>
            </w:r>
            <w:r>
              <w:br/>
            </w:r>
            <w:proofErr w:type="spellStart"/>
            <w:r>
              <w:t>Ritalina</w:t>
            </w:r>
            <w:proofErr w:type="spellEnd"/>
            <w:r>
              <w:t xml:space="preserve"> (metilfenidato), </w:t>
            </w:r>
            <w:proofErr w:type="spellStart"/>
            <w:r>
              <w:t>Stavigile</w:t>
            </w:r>
            <w:proofErr w:type="spellEnd"/>
            <w:r>
              <w:t xml:space="preserve"> (</w:t>
            </w:r>
            <w:proofErr w:type="spellStart"/>
            <w:r>
              <w:t>modafinil</w:t>
            </w:r>
            <w:proofErr w:type="spellEnd"/>
            <w:r>
              <w:t xml:space="preserve">), </w:t>
            </w:r>
            <w:proofErr w:type="spellStart"/>
            <w:r>
              <w:t>Venvanse</w:t>
            </w:r>
            <w:proofErr w:type="spellEnd"/>
            <w:r>
              <w:t xml:space="preserve"> (</w:t>
            </w:r>
            <w:proofErr w:type="spellStart"/>
            <w:r>
              <w:t>lisdexanfetamina</w:t>
            </w:r>
            <w:proofErr w:type="spellEnd"/>
            <w:r>
              <w:t>).</w:t>
            </w:r>
          </w:p>
          <w:p w:rsidR="001B7F08" w:rsidRDefault="00604356" w:rsidP="00242495">
            <w:pPr>
              <w:pStyle w:val="NormalWeb"/>
              <w:jc w:val="both"/>
              <w:rPr>
                <w:sz w:val="20"/>
                <w:szCs w:val="20"/>
              </w:rPr>
            </w:pPr>
            <w:r>
              <w:br/>
            </w:r>
            <w:r>
              <w:br/>
            </w:r>
            <w:r w:rsidRPr="00976253">
              <w:rPr>
                <w:b/>
                <w:u w:val="single"/>
              </w:rPr>
              <w:lastRenderedPageBreak/>
              <w:t>Antidiabéticos</w:t>
            </w:r>
            <w:r>
              <w:t>:</w:t>
            </w:r>
            <w:r w:rsidR="00664752">
              <w:t xml:space="preserve">          </w:t>
            </w:r>
            <w:r w:rsidR="00664752" w:rsidRPr="00664752">
              <w:rPr>
                <w:sz w:val="20"/>
                <w:szCs w:val="20"/>
              </w:rPr>
              <w:t xml:space="preserve"> </w:t>
            </w:r>
            <w:r w:rsidR="00664752" w:rsidRPr="00664752">
              <w:rPr>
                <w:sz w:val="20"/>
                <w:szCs w:val="20"/>
                <w:u w:val="single"/>
              </w:rPr>
              <w:t>Importante</w:t>
            </w:r>
            <w:r w:rsidR="00664752" w:rsidRPr="00664752">
              <w:rPr>
                <w:sz w:val="20"/>
                <w:szCs w:val="20"/>
              </w:rPr>
              <w:t xml:space="preserve"> – o controle glicêmico é imprescindível! Não suspenda o uso de nenhum medicamento por conta própria! Converse com seu clínico ou endocrinologista. </w:t>
            </w:r>
            <w:r w:rsidR="001B7F08">
              <w:rPr>
                <w:sz w:val="20"/>
                <w:szCs w:val="20"/>
              </w:rPr>
              <w:t xml:space="preserve"> </w:t>
            </w:r>
          </w:p>
          <w:p w:rsidR="00242495" w:rsidRPr="001B7F08" w:rsidRDefault="001B7F08" w:rsidP="00242495">
            <w:pPr>
              <w:pStyle w:val="NormalWeb"/>
              <w:jc w:val="both"/>
            </w:pPr>
            <w:r w:rsidRPr="001B7F08">
              <w:rPr>
                <w:b/>
              </w:rPr>
              <w:t>VER TABELA ATUALIZADA SOBRE USO DE HIPOGLICEMIANTES!</w:t>
            </w:r>
            <w:r>
              <w:rPr>
                <w:sz w:val="20"/>
                <w:szCs w:val="20"/>
              </w:rPr>
              <w:t xml:space="preserve">    </w:t>
            </w:r>
            <w:r w:rsidR="00B917FA">
              <w:br/>
            </w:r>
            <w:r w:rsidR="00B917FA">
              <w:br/>
            </w:r>
            <w:r w:rsidR="00B917FA">
              <w:br/>
            </w:r>
            <w:r w:rsidR="00953775" w:rsidRPr="00953775">
              <w:rPr>
                <w:b/>
              </w:rPr>
              <w:t>Ervas, Chás e análogos</w:t>
            </w:r>
          </w:p>
          <w:p w:rsidR="00953775" w:rsidRPr="00953775" w:rsidRDefault="00953775" w:rsidP="00242495">
            <w:pPr>
              <w:pStyle w:val="NormalWeb"/>
              <w:jc w:val="both"/>
            </w:pPr>
            <w:r>
              <w:t xml:space="preserve">- Capsulas de alho, camomila, </w:t>
            </w:r>
            <w:proofErr w:type="spellStart"/>
            <w:r>
              <w:t>ginko</w:t>
            </w:r>
            <w:proofErr w:type="spellEnd"/>
            <w:r w:rsidR="0052487A">
              <w:t xml:space="preserve"> </w:t>
            </w:r>
            <w:proofErr w:type="spellStart"/>
            <w:r w:rsidR="0052487A">
              <w:t>biloba</w:t>
            </w:r>
            <w:proofErr w:type="spellEnd"/>
            <w:r>
              <w:t xml:space="preserve">, </w:t>
            </w:r>
            <w:proofErr w:type="spellStart"/>
            <w:r>
              <w:t>ginseng</w:t>
            </w:r>
            <w:proofErr w:type="spellEnd"/>
            <w:r>
              <w:t xml:space="preserve">, </w:t>
            </w:r>
            <w:proofErr w:type="spellStart"/>
            <w:r>
              <w:t>equinácea</w:t>
            </w:r>
            <w:proofErr w:type="spellEnd"/>
            <w:r>
              <w:t xml:space="preserve">, valeria, </w:t>
            </w:r>
            <w:proofErr w:type="spellStart"/>
            <w:r>
              <w:t>hipericão</w:t>
            </w:r>
            <w:proofErr w:type="spellEnd"/>
            <w:r w:rsidR="0052487A">
              <w:t xml:space="preserve"> ou Erva de São João</w:t>
            </w:r>
            <w:r>
              <w:t xml:space="preserve">, </w:t>
            </w:r>
            <w:proofErr w:type="spellStart"/>
            <w:r>
              <w:t>kava</w:t>
            </w:r>
            <w:proofErr w:type="spellEnd"/>
            <w:r>
              <w:t xml:space="preserve"> </w:t>
            </w:r>
            <w:proofErr w:type="spellStart"/>
            <w:r>
              <w:t>kava</w:t>
            </w:r>
            <w:proofErr w:type="spellEnd"/>
            <w:r>
              <w:t xml:space="preserve">, </w:t>
            </w:r>
            <w:r w:rsidR="0052487A">
              <w:t xml:space="preserve">erva cidreira, </w:t>
            </w:r>
            <w:proofErr w:type="spellStart"/>
            <w:r w:rsidR="00570A08">
              <w:t>ephedra</w:t>
            </w:r>
            <w:proofErr w:type="spellEnd"/>
            <w:r w:rsidR="00570A08">
              <w:t>, chá verde, boldo, coenzima Q10, gengibre</w:t>
            </w:r>
            <w:r w:rsidR="009C3BCD">
              <w:t xml:space="preserve">, </w:t>
            </w:r>
            <w:proofErr w:type="spellStart"/>
            <w:r w:rsidR="009C3BCD">
              <w:t>sálvia</w:t>
            </w:r>
            <w:proofErr w:type="spellEnd"/>
            <w:r w:rsidR="009C3BCD">
              <w:t xml:space="preserve">, extrato de </w:t>
            </w:r>
            <w:proofErr w:type="spellStart"/>
            <w:r w:rsidR="009C3BCD">
              <w:t>papaya</w:t>
            </w:r>
            <w:proofErr w:type="spellEnd"/>
            <w:r w:rsidR="00DE740E">
              <w:t xml:space="preserve">, eucalipto, </w:t>
            </w:r>
            <w:r w:rsidR="00FE6A35">
              <w:t xml:space="preserve">guaraná, óleo de hortelã, espinheira santa </w:t>
            </w:r>
            <w:r w:rsidR="00357D7A">
              <w:t xml:space="preserve">– pode ser necessário suspender por até 2 semanas antes da cirurgia. </w:t>
            </w:r>
          </w:p>
          <w:p w:rsidR="004A2A15" w:rsidRDefault="004A2A15" w:rsidP="00242495">
            <w:pPr>
              <w:pStyle w:val="NormalWeb"/>
              <w:jc w:val="both"/>
            </w:pPr>
          </w:p>
        </w:tc>
      </w:tr>
    </w:tbl>
    <w:p w:rsidR="00ED54EA" w:rsidRDefault="00ED54EA" w:rsidP="00ED54EA">
      <w:pPr>
        <w:pStyle w:val="NormalWeb"/>
      </w:pPr>
    </w:p>
    <w:p w:rsidR="00ED54EA" w:rsidRDefault="00ED54EA" w:rsidP="004A2A15">
      <w:pPr>
        <w:pStyle w:val="NormalWeb"/>
        <w:jc w:val="both"/>
        <w:rPr>
          <w:rFonts w:asciiTheme="minorHAnsi" w:hAnsiTheme="minorHAnsi"/>
          <w:sz w:val="28"/>
          <w:szCs w:val="28"/>
        </w:rPr>
      </w:pPr>
      <w:r w:rsidRPr="004A2A15">
        <w:rPr>
          <w:rFonts w:asciiTheme="minorHAnsi" w:hAnsiTheme="minorHAnsi"/>
          <w:sz w:val="28"/>
          <w:szCs w:val="28"/>
        </w:rPr>
        <w:t>- O tipo de anestesia (</w:t>
      </w:r>
      <w:proofErr w:type="spellStart"/>
      <w:r w:rsidRPr="004A2A15">
        <w:rPr>
          <w:rFonts w:asciiTheme="minorHAnsi" w:hAnsiTheme="minorHAnsi"/>
          <w:sz w:val="28"/>
          <w:szCs w:val="28"/>
        </w:rPr>
        <w:t>sedação</w:t>
      </w:r>
      <w:proofErr w:type="spellEnd"/>
      <w:r w:rsidRPr="004A2A15">
        <w:rPr>
          <w:rFonts w:asciiTheme="minorHAnsi" w:hAnsiTheme="minorHAnsi"/>
          <w:sz w:val="28"/>
          <w:szCs w:val="28"/>
        </w:rPr>
        <w:t xml:space="preserve">, anestesia raquidiana, anestesia geral) normalmente é decidido na hora do procedimento conversando com o paciente e ajustando suas expectativas, a </w:t>
      </w:r>
      <w:proofErr w:type="spellStart"/>
      <w:r w:rsidRPr="004A2A15">
        <w:rPr>
          <w:rFonts w:asciiTheme="minorHAnsi" w:hAnsiTheme="minorHAnsi"/>
          <w:sz w:val="28"/>
          <w:szCs w:val="28"/>
        </w:rPr>
        <w:t>segurança</w:t>
      </w:r>
      <w:proofErr w:type="spellEnd"/>
      <w:r w:rsidRPr="004A2A15">
        <w:rPr>
          <w:rFonts w:asciiTheme="minorHAnsi" w:hAnsiTheme="minorHAnsi"/>
          <w:sz w:val="28"/>
          <w:szCs w:val="28"/>
        </w:rPr>
        <w:t xml:space="preserve"> e as necessidades do </w:t>
      </w:r>
      <w:proofErr w:type="spellStart"/>
      <w:r w:rsidRPr="004A2A15">
        <w:rPr>
          <w:rFonts w:asciiTheme="minorHAnsi" w:hAnsiTheme="minorHAnsi"/>
          <w:sz w:val="28"/>
          <w:szCs w:val="28"/>
        </w:rPr>
        <w:t>cirurgião</w:t>
      </w:r>
      <w:proofErr w:type="spellEnd"/>
      <w:r w:rsidRPr="004A2A15">
        <w:rPr>
          <w:rFonts w:asciiTheme="minorHAnsi" w:hAnsiTheme="minorHAnsi"/>
          <w:sz w:val="28"/>
          <w:szCs w:val="28"/>
        </w:rPr>
        <w:t xml:space="preserve">. </w:t>
      </w:r>
    </w:p>
    <w:p w:rsidR="00024C3D" w:rsidRDefault="00024C3D" w:rsidP="004A2A15">
      <w:pPr>
        <w:pStyle w:val="NormalWeb"/>
        <w:jc w:val="both"/>
        <w:rPr>
          <w:rFonts w:asciiTheme="minorHAnsi" w:hAnsiTheme="minorHAnsi"/>
          <w:sz w:val="28"/>
          <w:szCs w:val="28"/>
        </w:rPr>
      </w:pPr>
      <w:r>
        <w:rPr>
          <w:rFonts w:asciiTheme="minorHAnsi" w:hAnsiTheme="minorHAnsi"/>
          <w:sz w:val="28"/>
          <w:szCs w:val="28"/>
        </w:rPr>
        <w:t xml:space="preserve">- Após a cirurgia, por pelo menos mais 12 horas após sua alta hospitalar, você não deverá dirigir ou executar tarefas que demandem concentração ou tomada de decisões. Mesmo você se sentindo bem ainda pode haver algum efeito residual de medicamentos sedativos que podem causar confusão mental, perda de memória (durante esse período mencionado) e assim você poderia se expor a risco de acidentes automobilísticos ou decisões equivocadas. </w:t>
      </w:r>
    </w:p>
    <w:p w:rsidR="00E33B4C" w:rsidRDefault="00E33B4C" w:rsidP="004A2A15">
      <w:pPr>
        <w:pStyle w:val="NormalWeb"/>
        <w:jc w:val="both"/>
        <w:rPr>
          <w:rFonts w:asciiTheme="minorHAnsi" w:hAnsiTheme="minorHAnsi"/>
          <w:sz w:val="28"/>
          <w:szCs w:val="28"/>
        </w:rPr>
      </w:pPr>
      <w:r>
        <w:rPr>
          <w:rFonts w:asciiTheme="minorHAnsi" w:hAnsiTheme="minorHAnsi"/>
          <w:sz w:val="28"/>
          <w:szCs w:val="28"/>
        </w:rPr>
        <w:t xml:space="preserve">- Para a alta hospitalar você deverá estar acompanhado por uma pessoa maior de idade e responsável. </w:t>
      </w:r>
      <w:r w:rsidR="004B568A">
        <w:rPr>
          <w:rFonts w:asciiTheme="minorHAnsi" w:hAnsiTheme="minorHAnsi"/>
          <w:sz w:val="28"/>
          <w:szCs w:val="28"/>
        </w:rPr>
        <w:t>Poderá ser alguém da sua família ou amigo.</w:t>
      </w:r>
    </w:p>
    <w:p w:rsidR="00901E71" w:rsidRPr="004A2A15" w:rsidRDefault="00901E71" w:rsidP="004A2A15">
      <w:pPr>
        <w:pStyle w:val="NormalWeb"/>
        <w:jc w:val="both"/>
        <w:rPr>
          <w:rFonts w:asciiTheme="minorHAnsi" w:hAnsiTheme="minorHAnsi"/>
          <w:sz w:val="28"/>
          <w:szCs w:val="28"/>
        </w:rPr>
      </w:pPr>
      <w:r>
        <w:rPr>
          <w:rFonts w:asciiTheme="minorHAnsi" w:hAnsiTheme="minorHAnsi"/>
          <w:sz w:val="28"/>
          <w:szCs w:val="28"/>
        </w:rPr>
        <w:t xml:space="preserve">- Na maior parte das cirurgias será feito o uso de antibiótico profilático. Existem protocolos específicos que definem o tipo de medicamento e a forma de usar em cada situação. </w:t>
      </w:r>
      <w:r w:rsidR="00235D16">
        <w:rPr>
          <w:rFonts w:asciiTheme="minorHAnsi" w:hAnsiTheme="minorHAnsi"/>
          <w:sz w:val="28"/>
          <w:szCs w:val="28"/>
        </w:rPr>
        <w:t xml:space="preserve">Toda a equipe médica e funcionários do hospital são submetidos a rígidos protocolos de segurança objetivando garantir os melhores resultados. Caso você já esteja tomando antibióticos ou </w:t>
      </w:r>
      <w:r w:rsidR="00587D63">
        <w:rPr>
          <w:rFonts w:asciiTheme="minorHAnsi" w:hAnsiTheme="minorHAnsi"/>
          <w:sz w:val="28"/>
          <w:szCs w:val="28"/>
        </w:rPr>
        <w:t xml:space="preserve">caso </w:t>
      </w:r>
      <w:r w:rsidR="00235D16">
        <w:rPr>
          <w:rFonts w:asciiTheme="minorHAnsi" w:hAnsiTheme="minorHAnsi"/>
          <w:sz w:val="28"/>
          <w:szCs w:val="28"/>
        </w:rPr>
        <w:t xml:space="preserve">seja alérgico a algum deles, não esqueça de mencionar. </w:t>
      </w:r>
    </w:p>
    <w:p w:rsidR="004A2A15" w:rsidRPr="004A2A15" w:rsidRDefault="004A2A15" w:rsidP="004A2A15">
      <w:pPr>
        <w:pStyle w:val="NormalWeb"/>
        <w:jc w:val="both"/>
        <w:rPr>
          <w:rFonts w:asciiTheme="minorHAnsi" w:hAnsiTheme="minorHAnsi"/>
          <w:sz w:val="28"/>
          <w:szCs w:val="28"/>
        </w:rPr>
      </w:pPr>
      <w:r w:rsidRPr="004A2A15">
        <w:rPr>
          <w:rFonts w:asciiTheme="minorHAnsi" w:hAnsiTheme="minorHAnsi"/>
          <w:sz w:val="28"/>
          <w:szCs w:val="28"/>
        </w:rPr>
        <w:t xml:space="preserve">- Alguns convênios não estão vinculados com a </w:t>
      </w:r>
      <w:proofErr w:type="spellStart"/>
      <w:r w:rsidRPr="004A2A15">
        <w:rPr>
          <w:rFonts w:asciiTheme="minorHAnsi" w:hAnsiTheme="minorHAnsi"/>
          <w:sz w:val="28"/>
          <w:szCs w:val="28"/>
        </w:rPr>
        <w:t>Dra</w:t>
      </w:r>
      <w:proofErr w:type="spellEnd"/>
      <w:r w:rsidRPr="004A2A15">
        <w:rPr>
          <w:rFonts w:asciiTheme="minorHAnsi" w:hAnsiTheme="minorHAnsi"/>
          <w:sz w:val="28"/>
          <w:szCs w:val="28"/>
        </w:rPr>
        <w:t xml:space="preserve"> Daniela incluindo alguns que não possuem vínculo com nenhum anestesiologista. Nessas situações o paciente será informado quanto ao valor do procedimento e formas de pagamento. Antes da cirurgia é importante que confirme a ciência dessa </w:t>
      </w:r>
      <w:r w:rsidRPr="004A2A15">
        <w:rPr>
          <w:rFonts w:asciiTheme="minorHAnsi" w:hAnsiTheme="minorHAnsi"/>
          <w:sz w:val="28"/>
          <w:szCs w:val="28"/>
        </w:rPr>
        <w:lastRenderedPageBreak/>
        <w:t xml:space="preserve">cobrança. </w:t>
      </w:r>
      <w:r w:rsidRPr="004A2A15">
        <w:rPr>
          <w:rFonts w:asciiTheme="minorHAnsi" w:hAnsiTheme="minorHAnsi"/>
          <w:sz w:val="28"/>
          <w:szCs w:val="28"/>
        </w:rPr>
        <w:br/>
      </w:r>
      <w:r>
        <w:rPr>
          <w:rFonts w:asciiTheme="minorHAnsi" w:hAnsiTheme="minorHAnsi"/>
          <w:sz w:val="28"/>
          <w:szCs w:val="28"/>
        </w:rPr>
        <w:t xml:space="preserve">      </w:t>
      </w:r>
      <w:r w:rsidRPr="004A2A15">
        <w:rPr>
          <w:rFonts w:asciiTheme="minorHAnsi" w:hAnsiTheme="minorHAnsi"/>
          <w:sz w:val="28"/>
          <w:szCs w:val="28"/>
        </w:rPr>
        <w:t xml:space="preserve">Reforçamos que infelizmente, hoje em dia todos estão suscetíveis a tentativa de golpes e extorsão. Em caso de qualquer dúvida sugerimos entrar em contato com o cirurgião ou sua secretária para confirmar que essa tratativa está dentro do previsto e é legal. </w:t>
      </w:r>
    </w:p>
    <w:p w:rsidR="00ED54EA" w:rsidRPr="004A2A15" w:rsidRDefault="00ED54EA" w:rsidP="004A2A15">
      <w:pPr>
        <w:pStyle w:val="NormalWeb"/>
        <w:jc w:val="both"/>
        <w:rPr>
          <w:rFonts w:asciiTheme="minorHAnsi" w:hAnsiTheme="minorHAnsi"/>
          <w:sz w:val="28"/>
          <w:szCs w:val="28"/>
        </w:rPr>
      </w:pPr>
      <w:r w:rsidRPr="004A2A15">
        <w:rPr>
          <w:rFonts w:asciiTheme="minorHAnsi" w:hAnsiTheme="minorHAnsi"/>
          <w:sz w:val="28"/>
          <w:szCs w:val="28"/>
        </w:rPr>
        <w:t xml:space="preserve">- Cirurgias tem hora para </w:t>
      </w:r>
      <w:proofErr w:type="spellStart"/>
      <w:proofErr w:type="gramStart"/>
      <w:r w:rsidRPr="004A2A15">
        <w:rPr>
          <w:rFonts w:asciiTheme="minorHAnsi" w:hAnsiTheme="minorHAnsi"/>
          <w:sz w:val="28"/>
          <w:szCs w:val="28"/>
        </w:rPr>
        <w:t>começar</w:t>
      </w:r>
      <w:proofErr w:type="spellEnd"/>
      <w:proofErr w:type="gramEnd"/>
      <w:r w:rsidRPr="004A2A15">
        <w:rPr>
          <w:rFonts w:asciiTheme="minorHAnsi" w:hAnsiTheme="minorHAnsi"/>
          <w:sz w:val="28"/>
          <w:szCs w:val="28"/>
        </w:rPr>
        <w:t xml:space="preserve"> mas </w:t>
      </w:r>
      <w:proofErr w:type="spellStart"/>
      <w:r w:rsidRPr="004A2A15">
        <w:rPr>
          <w:rFonts w:asciiTheme="minorHAnsi" w:hAnsiTheme="minorHAnsi"/>
          <w:sz w:val="28"/>
          <w:szCs w:val="28"/>
        </w:rPr>
        <w:t>não</w:t>
      </w:r>
      <w:proofErr w:type="spellEnd"/>
      <w:r w:rsidRPr="004A2A15">
        <w:rPr>
          <w:rFonts w:asciiTheme="minorHAnsi" w:hAnsiTheme="minorHAnsi"/>
          <w:sz w:val="28"/>
          <w:szCs w:val="28"/>
        </w:rPr>
        <w:t xml:space="preserve"> tem hora para terminar. Isso é importante porque a </w:t>
      </w:r>
      <w:proofErr w:type="spellStart"/>
      <w:r w:rsidRPr="004A2A15">
        <w:rPr>
          <w:rFonts w:asciiTheme="minorHAnsi" w:hAnsiTheme="minorHAnsi"/>
          <w:sz w:val="28"/>
          <w:szCs w:val="28"/>
        </w:rPr>
        <w:t>família</w:t>
      </w:r>
      <w:proofErr w:type="spellEnd"/>
      <w:r w:rsidRPr="004A2A15">
        <w:rPr>
          <w:rFonts w:asciiTheme="minorHAnsi" w:hAnsiTheme="minorHAnsi"/>
          <w:sz w:val="28"/>
          <w:szCs w:val="28"/>
        </w:rPr>
        <w:t xml:space="preserve"> que aguarda na sala de espera costuma ficar angustiada por </w:t>
      </w:r>
      <w:proofErr w:type="spellStart"/>
      <w:r w:rsidRPr="004A2A15">
        <w:rPr>
          <w:rFonts w:asciiTheme="minorHAnsi" w:hAnsiTheme="minorHAnsi"/>
          <w:sz w:val="28"/>
          <w:szCs w:val="28"/>
        </w:rPr>
        <w:t>informações</w:t>
      </w:r>
      <w:proofErr w:type="spellEnd"/>
      <w:r w:rsidRPr="004A2A15">
        <w:rPr>
          <w:rFonts w:asciiTheme="minorHAnsi" w:hAnsiTheme="minorHAnsi"/>
          <w:sz w:val="28"/>
          <w:szCs w:val="28"/>
        </w:rPr>
        <w:t xml:space="preserve">. </w:t>
      </w:r>
    </w:p>
    <w:p w:rsidR="00ED54EA" w:rsidRPr="004A2A15" w:rsidRDefault="001944DD" w:rsidP="004A2A15">
      <w:pPr>
        <w:pStyle w:val="NormalWeb"/>
        <w:jc w:val="both"/>
        <w:rPr>
          <w:rFonts w:asciiTheme="minorHAnsi" w:hAnsiTheme="minorHAnsi"/>
          <w:sz w:val="28"/>
          <w:szCs w:val="28"/>
        </w:rPr>
      </w:pPr>
      <w:r>
        <w:rPr>
          <w:rFonts w:asciiTheme="minorHAnsi" w:hAnsiTheme="minorHAnsi"/>
          <w:sz w:val="28"/>
          <w:szCs w:val="28"/>
        </w:rPr>
        <w:t xml:space="preserve">     </w:t>
      </w:r>
      <w:r w:rsidR="00ED54EA" w:rsidRPr="004A2A15">
        <w:rPr>
          <w:rFonts w:asciiTheme="minorHAnsi" w:hAnsiTheme="minorHAnsi"/>
          <w:sz w:val="28"/>
          <w:szCs w:val="28"/>
        </w:rPr>
        <w:t xml:space="preserve">Fazemos tudo com calma e sem pressa! </w:t>
      </w:r>
      <w:r w:rsidR="00FA5C63">
        <w:rPr>
          <w:rFonts w:asciiTheme="minorHAnsi" w:hAnsiTheme="minorHAnsi"/>
          <w:sz w:val="28"/>
          <w:szCs w:val="28"/>
        </w:rPr>
        <w:t xml:space="preserve"> </w:t>
      </w:r>
      <w:r w:rsidR="00ED54EA" w:rsidRPr="004A2A15">
        <w:rPr>
          <w:rFonts w:asciiTheme="minorHAnsi" w:hAnsiTheme="minorHAnsi"/>
          <w:sz w:val="28"/>
          <w:szCs w:val="28"/>
        </w:rPr>
        <w:t xml:space="preserve">Quando terminar, o </w:t>
      </w:r>
      <w:proofErr w:type="spellStart"/>
      <w:r w:rsidR="00ED54EA" w:rsidRPr="004A2A15">
        <w:rPr>
          <w:rFonts w:asciiTheme="minorHAnsi" w:hAnsiTheme="minorHAnsi"/>
          <w:sz w:val="28"/>
          <w:szCs w:val="28"/>
        </w:rPr>
        <w:t>cirurgião</w:t>
      </w:r>
      <w:proofErr w:type="spellEnd"/>
      <w:r w:rsidR="00ED54EA" w:rsidRPr="004A2A15">
        <w:rPr>
          <w:rFonts w:asciiTheme="minorHAnsi" w:hAnsiTheme="minorHAnsi"/>
          <w:sz w:val="28"/>
          <w:szCs w:val="28"/>
        </w:rPr>
        <w:t xml:space="preserve"> </w:t>
      </w:r>
      <w:r w:rsidR="00FA5C63">
        <w:rPr>
          <w:rFonts w:asciiTheme="minorHAnsi" w:hAnsiTheme="minorHAnsi"/>
          <w:sz w:val="28"/>
          <w:szCs w:val="28"/>
        </w:rPr>
        <w:t xml:space="preserve">irá </w:t>
      </w:r>
      <w:r w:rsidR="00ED54EA" w:rsidRPr="004A2A15">
        <w:rPr>
          <w:rFonts w:asciiTheme="minorHAnsi" w:hAnsiTheme="minorHAnsi"/>
          <w:sz w:val="28"/>
          <w:szCs w:val="28"/>
        </w:rPr>
        <w:t xml:space="preserve">conversar com os familiares e passar </w:t>
      </w:r>
      <w:proofErr w:type="spellStart"/>
      <w:r w:rsidR="00ED54EA" w:rsidRPr="004A2A15">
        <w:rPr>
          <w:rFonts w:asciiTheme="minorHAnsi" w:hAnsiTheme="minorHAnsi"/>
          <w:sz w:val="28"/>
          <w:szCs w:val="28"/>
        </w:rPr>
        <w:t>orientações</w:t>
      </w:r>
      <w:proofErr w:type="spellEnd"/>
      <w:r w:rsidR="00ED54EA" w:rsidRPr="004A2A15">
        <w:rPr>
          <w:rFonts w:asciiTheme="minorHAnsi" w:hAnsiTheme="minorHAnsi"/>
          <w:sz w:val="28"/>
          <w:szCs w:val="28"/>
        </w:rPr>
        <w:t xml:space="preserve">. </w:t>
      </w:r>
    </w:p>
    <w:p w:rsidR="002A1E84" w:rsidRPr="004A2A15" w:rsidRDefault="00ED54EA" w:rsidP="004A2A15">
      <w:pPr>
        <w:pStyle w:val="NormalWeb"/>
        <w:jc w:val="both"/>
        <w:rPr>
          <w:rFonts w:asciiTheme="minorHAnsi" w:hAnsiTheme="minorHAnsi"/>
          <w:sz w:val="28"/>
          <w:szCs w:val="28"/>
        </w:rPr>
      </w:pPr>
      <w:r w:rsidRPr="004A2A15">
        <w:rPr>
          <w:rFonts w:asciiTheme="minorHAnsi" w:hAnsiTheme="minorHAnsi"/>
          <w:sz w:val="28"/>
          <w:szCs w:val="28"/>
        </w:rPr>
        <w:t xml:space="preserve">- Em caso de </w:t>
      </w:r>
      <w:proofErr w:type="spellStart"/>
      <w:r w:rsidRPr="004A2A15">
        <w:rPr>
          <w:rFonts w:asciiTheme="minorHAnsi" w:hAnsiTheme="minorHAnsi"/>
          <w:sz w:val="28"/>
          <w:szCs w:val="28"/>
        </w:rPr>
        <w:t>dúvidas</w:t>
      </w:r>
      <w:proofErr w:type="spellEnd"/>
      <w:r w:rsidRPr="004A2A15">
        <w:rPr>
          <w:rFonts w:asciiTheme="minorHAnsi" w:hAnsiTheme="minorHAnsi"/>
          <w:sz w:val="28"/>
          <w:szCs w:val="28"/>
        </w:rPr>
        <w:t xml:space="preserve">, entre em contato com a equipe </w:t>
      </w:r>
      <w:proofErr w:type="spellStart"/>
      <w:r w:rsidRPr="004A2A15">
        <w:rPr>
          <w:rFonts w:asciiTheme="minorHAnsi" w:hAnsiTheme="minorHAnsi"/>
          <w:sz w:val="28"/>
          <w:szCs w:val="28"/>
        </w:rPr>
        <w:t>médica</w:t>
      </w:r>
      <w:proofErr w:type="spellEnd"/>
      <w:r w:rsidRPr="004A2A15">
        <w:rPr>
          <w:rFonts w:asciiTheme="minorHAnsi" w:hAnsiTheme="minorHAnsi"/>
          <w:sz w:val="28"/>
          <w:szCs w:val="28"/>
        </w:rPr>
        <w:t xml:space="preserve"> (</w:t>
      </w:r>
      <w:proofErr w:type="spellStart"/>
      <w:r w:rsidRPr="004A2A15">
        <w:rPr>
          <w:rFonts w:asciiTheme="minorHAnsi" w:hAnsiTheme="minorHAnsi"/>
          <w:sz w:val="28"/>
          <w:szCs w:val="28"/>
        </w:rPr>
        <w:t>cirurgião</w:t>
      </w:r>
      <w:proofErr w:type="spellEnd"/>
      <w:r w:rsidRPr="004A2A15">
        <w:rPr>
          <w:rFonts w:asciiTheme="minorHAnsi" w:hAnsiTheme="minorHAnsi"/>
          <w:sz w:val="28"/>
          <w:szCs w:val="28"/>
        </w:rPr>
        <w:t xml:space="preserve"> ou anestesista)</w:t>
      </w:r>
      <w:r w:rsidR="00664752">
        <w:rPr>
          <w:rFonts w:asciiTheme="minorHAnsi" w:hAnsiTheme="minorHAnsi"/>
          <w:sz w:val="28"/>
          <w:szCs w:val="28"/>
        </w:rPr>
        <w:t>.</w:t>
      </w:r>
    </w:p>
    <w:p w:rsidR="001944DD" w:rsidRPr="004A2A15" w:rsidRDefault="001944DD" w:rsidP="004A2A15">
      <w:pPr>
        <w:pStyle w:val="NormalWeb"/>
        <w:jc w:val="both"/>
        <w:rPr>
          <w:rFonts w:asciiTheme="minorHAnsi" w:hAnsiTheme="minorHAnsi"/>
          <w:sz w:val="28"/>
          <w:szCs w:val="28"/>
        </w:rPr>
      </w:pPr>
    </w:p>
    <w:p w:rsidR="00ED54EA" w:rsidRDefault="00ED54EA" w:rsidP="00ED54EA">
      <w:pPr>
        <w:pStyle w:val="NormalWeb"/>
      </w:pPr>
      <w:r>
        <w:rPr>
          <w:rFonts w:ascii="Calibri" w:hAnsi="Calibri"/>
          <w:sz w:val="28"/>
          <w:szCs w:val="28"/>
        </w:rPr>
        <w:t>Atenciosamente,</w:t>
      </w:r>
      <w:r>
        <w:rPr>
          <w:rFonts w:ascii="Calibri" w:hAnsi="Calibri"/>
          <w:sz w:val="28"/>
          <w:szCs w:val="28"/>
        </w:rPr>
        <w:br/>
      </w:r>
      <w:proofErr w:type="spellStart"/>
      <w:r>
        <w:rPr>
          <w:rFonts w:ascii="Calibri" w:hAnsi="Calibri"/>
          <w:sz w:val="28"/>
          <w:szCs w:val="28"/>
        </w:rPr>
        <w:t>Dra</w:t>
      </w:r>
      <w:proofErr w:type="spellEnd"/>
      <w:r>
        <w:rPr>
          <w:rFonts w:ascii="Calibri" w:hAnsi="Calibri"/>
          <w:sz w:val="28"/>
          <w:szCs w:val="28"/>
        </w:rPr>
        <w:t xml:space="preserve"> Daniela Donadel </w:t>
      </w:r>
    </w:p>
    <w:p w:rsidR="00D4653A" w:rsidRDefault="00EB1CE1"/>
    <w:p w:rsidR="003356A1" w:rsidRDefault="003356A1">
      <w:bookmarkStart w:id="0" w:name="_GoBack"/>
      <w:bookmarkEnd w:id="0"/>
    </w:p>
    <w:p w:rsidR="003356A1" w:rsidRDefault="003356A1"/>
    <w:p w:rsidR="003356A1" w:rsidRDefault="003356A1" w:rsidP="00BE310A">
      <w:pPr>
        <w:jc w:val="center"/>
        <w:rPr>
          <w:b/>
        </w:rPr>
      </w:pPr>
      <w:r>
        <w:rPr>
          <w:b/>
        </w:rPr>
        <w:t>REFORÇO SOBRE MEDICAMENTOS DE USO CONTÍNUO</w:t>
      </w:r>
    </w:p>
    <w:p w:rsidR="003356A1" w:rsidRDefault="003356A1">
      <w:pPr>
        <w:rPr>
          <w:b/>
        </w:rPr>
      </w:pPr>
    </w:p>
    <w:tbl>
      <w:tblPr>
        <w:tblStyle w:val="Tabelacomgrade"/>
        <w:tblW w:w="0" w:type="auto"/>
        <w:tblLook w:val="04A0" w:firstRow="1" w:lastRow="0" w:firstColumn="1" w:lastColumn="0" w:noHBand="0" w:noVBand="1"/>
      </w:tblPr>
      <w:tblGrid>
        <w:gridCol w:w="2829"/>
        <w:gridCol w:w="2829"/>
        <w:gridCol w:w="2830"/>
      </w:tblGrid>
      <w:tr w:rsidR="003356A1" w:rsidTr="003356A1">
        <w:tc>
          <w:tcPr>
            <w:tcW w:w="2829" w:type="dxa"/>
          </w:tcPr>
          <w:p w:rsidR="003356A1" w:rsidRPr="003356A1" w:rsidRDefault="003356A1" w:rsidP="003356A1">
            <w:pPr>
              <w:jc w:val="center"/>
              <w:rPr>
                <w:b/>
                <w:u w:val="single"/>
              </w:rPr>
            </w:pPr>
            <w:r w:rsidRPr="003356A1">
              <w:rPr>
                <w:b/>
                <w:u w:val="single"/>
              </w:rPr>
              <w:t>MEDICAÇÃO</w:t>
            </w:r>
          </w:p>
        </w:tc>
        <w:tc>
          <w:tcPr>
            <w:tcW w:w="2829" w:type="dxa"/>
          </w:tcPr>
          <w:p w:rsidR="003356A1" w:rsidRPr="003356A1" w:rsidRDefault="003356A1" w:rsidP="003356A1">
            <w:pPr>
              <w:jc w:val="center"/>
              <w:rPr>
                <w:b/>
                <w:u w:val="single"/>
              </w:rPr>
            </w:pPr>
            <w:r w:rsidRPr="003356A1">
              <w:rPr>
                <w:b/>
                <w:u w:val="single"/>
              </w:rPr>
              <w:t>NOMES</w:t>
            </w:r>
          </w:p>
        </w:tc>
        <w:tc>
          <w:tcPr>
            <w:tcW w:w="2830" w:type="dxa"/>
          </w:tcPr>
          <w:p w:rsidR="003356A1" w:rsidRPr="003356A1" w:rsidRDefault="003356A1" w:rsidP="003356A1">
            <w:pPr>
              <w:jc w:val="center"/>
              <w:rPr>
                <w:b/>
                <w:u w:val="single"/>
              </w:rPr>
            </w:pPr>
            <w:r w:rsidRPr="003356A1">
              <w:rPr>
                <w:b/>
                <w:u w:val="single"/>
              </w:rPr>
              <w:t>SUSPENSÃO</w:t>
            </w:r>
          </w:p>
        </w:tc>
      </w:tr>
      <w:tr w:rsidR="002A559A" w:rsidTr="00AF78AA">
        <w:tc>
          <w:tcPr>
            <w:tcW w:w="8488" w:type="dxa"/>
            <w:gridSpan w:val="3"/>
          </w:tcPr>
          <w:p w:rsidR="002A559A" w:rsidRDefault="002A559A">
            <w:pPr>
              <w:rPr>
                <w:b/>
              </w:rPr>
            </w:pPr>
          </w:p>
        </w:tc>
      </w:tr>
      <w:tr w:rsidR="003356A1" w:rsidTr="002B0DCE">
        <w:tc>
          <w:tcPr>
            <w:tcW w:w="8488" w:type="dxa"/>
            <w:gridSpan w:val="3"/>
          </w:tcPr>
          <w:p w:rsidR="003356A1" w:rsidRDefault="003356A1" w:rsidP="003356A1">
            <w:pPr>
              <w:jc w:val="center"/>
              <w:rPr>
                <w:b/>
              </w:rPr>
            </w:pPr>
            <w:r>
              <w:rPr>
                <w:b/>
              </w:rPr>
              <w:t>HIPOGLICEMIANTES (DIABETES)</w:t>
            </w:r>
          </w:p>
        </w:tc>
      </w:tr>
      <w:tr w:rsidR="003356A1" w:rsidTr="003356A1">
        <w:tc>
          <w:tcPr>
            <w:tcW w:w="2829" w:type="dxa"/>
          </w:tcPr>
          <w:p w:rsidR="003356A1" w:rsidRPr="00BE310A" w:rsidRDefault="003356A1">
            <w:pPr>
              <w:rPr>
                <w:sz w:val="20"/>
                <w:szCs w:val="20"/>
              </w:rPr>
            </w:pPr>
            <w:proofErr w:type="spellStart"/>
            <w:r w:rsidRPr="00BE310A">
              <w:rPr>
                <w:sz w:val="20"/>
                <w:szCs w:val="20"/>
              </w:rPr>
              <w:t>Metformina</w:t>
            </w:r>
            <w:proofErr w:type="spellEnd"/>
          </w:p>
        </w:tc>
        <w:tc>
          <w:tcPr>
            <w:tcW w:w="2829" w:type="dxa"/>
          </w:tcPr>
          <w:p w:rsidR="003356A1" w:rsidRDefault="003356A1">
            <w:pPr>
              <w:rPr>
                <w:b/>
              </w:rPr>
            </w:pPr>
            <w:proofErr w:type="spellStart"/>
            <w:r>
              <w:rPr>
                <w:b/>
              </w:rPr>
              <w:t>Glifage</w:t>
            </w:r>
            <w:proofErr w:type="spellEnd"/>
          </w:p>
        </w:tc>
        <w:tc>
          <w:tcPr>
            <w:tcW w:w="2830" w:type="dxa"/>
          </w:tcPr>
          <w:p w:rsidR="003356A1" w:rsidRDefault="003356A1">
            <w:pPr>
              <w:rPr>
                <w:b/>
              </w:rPr>
            </w:pPr>
            <w:r>
              <w:rPr>
                <w:b/>
              </w:rPr>
              <w:t>Não tomar no dia</w:t>
            </w:r>
          </w:p>
        </w:tc>
      </w:tr>
      <w:tr w:rsidR="002A559A" w:rsidTr="00296120">
        <w:tc>
          <w:tcPr>
            <w:tcW w:w="8488" w:type="dxa"/>
            <w:gridSpan w:val="3"/>
          </w:tcPr>
          <w:p w:rsidR="002A559A" w:rsidRDefault="002A559A">
            <w:pPr>
              <w:rPr>
                <w:b/>
              </w:rPr>
            </w:pPr>
          </w:p>
        </w:tc>
      </w:tr>
      <w:tr w:rsidR="003356A1" w:rsidTr="003356A1">
        <w:tc>
          <w:tcPr>
            <w:tcW w:w="2829" w:type="dxa"/>
          </w:tcPr>
          <w:p w:rsidR="003356A1" w:rsidRPr="00BE310A" w:rsidRDefault="003356A1">
            <w:pPr>
              <w:rPr>
                <w:sz w:val="20"/>
                <w:szCs w:val="20"/>
              </w:rPr>
            </w:pPr>
            <w:proofErr w:type="spellStart"/>
            <w:r w:rsidRPr="00BE310A">
              <w:rPr>
                <w:sz w:val="20"/>
                <w:szCs w:val="20"/>
              </w:rPr>
              <w:t>Sulfoniluréias</w:t>
            </w:r>
            <w:proofErr w:type="spellEnd"/>
          </w:p>
        </w:tc>
        <w:tc>
          <w:tcPr>
            <w:tcW w:w="2829" w:type="dxa"/>
          </w:tcPr>
          <w:p w:rsidR="003356A1" w:rsidRDefault="003356A1">
            <w:pPr>
              <w:rPr>
                <w:b/>
              </w:rPr>
            </w:pPr>
            <w:proofErr w:type="spellStart"/>
            <w:r w:rsidRPr="00BE310A">
              <w:t>Glipizida</w:t>
            </w:r>
            <w:proofErr w:type="spellEnd"/>
            <w:r>
              <w:rPr>
                <w:b/>
              </w:rPr>
              <w:t xml:space="preserve"> (</w:t>
            </w:r>
            <w:proofErr w:type="spellStart"/>
            <w:r>
              <w:rPr>
                <w:b/>
              </w:rPr>
              <w:t>Minidiab</w:t>
            </w:r>
            <w:proofErr w:type="spellEnd"/>
            <w:r>
              <w:rPr>
                <w:b/>
              </w:rPr>
              <w:t xml:space="preserve">); </w:t>
            </w:r>
            <w:proofErr w:type="spellStart"/>
            <w:r w:rsidRPr="00BE310A">
              <w:t>Glibenclamida</w:t>
            </w:r>
            <w:proofErr w:type="spellEnd"/>
            <w:r>
              <w:rPr>
                <w:b/>
              </w:rPr>
              <w:t xml:space="preserve"> (</w:t>
            </w:r>
            <w:proofErr w:type="spellStart"/>
            <w:r>
              <w:rPr>
                <w:b/>
              </w:rPr>
              <w:t>Daonil</w:t>
            </w:r>
            <w:proofErr w:type="spellEnd"/>
            <w:r>
              <w:rPr>
                <w:b/>
              </w:rPr>
              <w:t xml:space="preserve">); </w:t>
            </w:r>
            <w:proofErr w:type="spellStart"/>
            <w:r w:rsidRPr="00BE310A">
              <w:t>Glimepiridina</w:t>
            </w:r>
            <w:proofErr w:type="spellEnd"/>
            <w:r>
              <w:rPr>
                <w:b/>
              </w:rPr>
              <w:t xml:space="preserve"> (</w:t>
            </w:r>
            <w:proofErr w:type="spellStart"/>
            <w:r>
              <w:rPr>
                <w:b/>
              </w:rPr>
              <w:t>Amaryl</w:t>
            </w:r>
            <w:proofErr w:type="spellEnd"/>
            <w:r>
              <w:rPr>
                <w:b/>
              </w:rPr>
              <w:t xml:space="preserve">); </w:t>
            </w:r>
            <w:proofErr w:type="spellStart"/>
            <w:r w:rsidRPr="00BE310A">
              <w:t>Glicazida</w:t>
            </w:r>
            <w:proofErr w:type="spellEnd"/>
            <w:r>
              <w:rPr>
                <w:b/>
              </w:rPr>
              <w:t xml:space="preserve"> (</w:t>
            </w:r>
            <w:proofErr w:type="spellStart"/>
            <w:r>
              <w:rPr>
                <w:b/>
              </w:rPr>
              <w:t>Diamicron</w:t>
            </w:r>
            <w:proofErr w:type="spellEnd"/>
            <w:r>
              <w:rPr>
                <w:b/>
              </w:rPr>
              <w:t>)</w:t>
            </w:r>
          </w:p>
        </w:tc>
        <w:tc>
          <w:tcPr>
            <w:tcW w:w="2830" w:type="dxa"/>
          </w:tcPr>
          <w:p w:rsidR="003356A1" w:rsidRDefault="003356A1">
            <w:pPr>
              <w:rPr>
                <w:b/>
              </w:rPr>
            </w:pPr>
            <w:r>
              <w:rPr>
                <w:b/>
              </w:rPr>
              <w:t>24 horas</w:t>
            </w:r>
          </w:p>
        </w:tc>
      </w:tr>
      <w:tr w:rsidR="002A559A" w:rsidTr="00DB5D65">
        <w:tc>
          <w:tcPr>
            <w:tcW w:w="8488" w:type="dxa"/>
            <w:gridSpan w:val="3"/>
          </w:tcPr>
          <w:p w:rsidR="002A559A" w:rsidRDefault="002A559A">
            <w:pPr>
              <w:rPr>
                <w:b/>
              </w:rPr>
            </w:pPr>
          </w:p>
        </w:tc>
      </w:tr>
      <w:tr w:rsidR="003356A1" w:rsidTr="003356A1">
        <w:tc>
          <w:tcPr>
            <w:tcW w:w="2829" w:type="dxa"/>
          </w:tcPr>
          <w:p w:rsidR="003356A1" w:rsidRPr="00BE310A" w:rsidRDefault="002A559A">
            <w:pPr>
              <w:rPr>
                <w:sz w:val="20"/>
                <w:szCs w:val="20"/>
              </w:rPr>
            </w:pPr>
            <w:proofErr w:type="spellStart"/>
            <w:r w:rsidRPr="00BE310A">
              <w:rPr>
                <w:sz w:val="20"/>
                <w:szCs w:val="20"/>
              </w:rPr>
              <w:t>Glinidas</w:t>
            </w:r>
            <w:proofErr w:type="spellEnd"/>
          </w:p>
        </w:tc>
        <w:tc>
          <w:tcPr>
            <w:tcW w:w="2829" w:type="dxa"/>
          </w:tcPr>
          <w:p w:rsidR="003356A1" w:rsidRDefault="002A559A">
            <w:pPr>
              <w:rPr>
                <w:b/>
              </w:rPr>
            </w:pPr>
            <w:proofErr w:type="spellStart"/>
            <w:r w:rsidRPr="00BE310A">
              <w:t>Nateglinida</w:t>
            </w:r>
            <w:proofErr w:type="spellEnd"/>
            <w:r>
              <w:rPr>
                <w:b/>
              </w:rPr>
              <w:t xml:space="preserve"> (</w:t>
            </w:r>
            <w:proofErr w:type="spellStart"/>
            <w:r>
              <w:rPr>
                <w:b/>
              </w:rPr>
              <w:t>Sarlix</w:t>
            </w:r>
            <w:proofErr w:type="spellEnd"/>
            <w:r>
              <w:rPr>
                <w:b/>
              </w:rPr>
              <w:t xml:space="preserve">); </w:t>
            </w:r>
            <w:proofErr w:type="spellStart"/>
            <w:r w:rsidRPr="00BE310A">
              <w:t>Repaglinida</w:t>
            </w:r>
            <w:proofErr w:type="spellEnd"/>
            <w:r>
              <w:rPr>
                <w:b/>
              </w:rPr>
              <w:t xml:space="preserve"> (</w:t>
            </w:r>
            <w:proofErr w:type="spellStart"/>
            <w:r>
              <w:rPr>
                <w:b/>
              </w:rPr>
              <w:t>Prandin</w:t>
            </w:r>
            <w:proofErr w:type="spellEnd"/>
            <w:r>
              <w:rPr>
                <w:b/>
              </w:rPr>
              <w:t>)</w:t>
            </w:r>
          </w:p>
        </w:tc>
        <w:tc>
          <w:tcPr>
            <w:tcW w:w="2830" w:type="dxa"/>
          </w:tcPr>
          <w:p w:rsidR="003356A1" w:rsidRDefault="002A559A">
            <w:pPr>
              <w:rPr>
                <w:b/>
              </w:rPr>
            </w:pPr>
            <w:r>
              <w:rPr>
                <w:b/>
              </w:rPr>
              <w:t>24h</w:t>
            </w:r>
          </w:p>
        </w:tc>
      </w:tr>
      <w:tr w:rsidR="002A559A" w:rsidTr="00DB4E48">
        <w:tc>
          <w:tcPr>
            <w:tcW w:w="8488" w:type="dxa"/>
            <w:gridSpan w:val="3"/>
          </w:tcPr>
          <w:p w:rsidR="002A559A" w:rsidRDefault="002A559A">
            <w:pPr>
              <w:rPr>
                <w:b/>
              </w:rPr>
            </w:pPr>
          </w:p>
        </w:tc>
      </w:tr>
      <w:tr w:rsidR="003356A1" w:rsidTr="003356A1">
        <w:tc>
          <w:tcPr>
            <w:tcW w:w="2829" w:type="dxa"/>
          </w:tcPr>
          <w:p w:rsidR="003356A1" w:rsidRPr="00BE310A" w:rsidRDefault="002A559A">
            <w:pPr>
              <w:rPr>
                <w:sz w:val="20"/>
                <w:szCs w:val="20"/>
              </w:rPr>
            </w:pPr>
            <w:proofErr w:type="spellStart"/>
            <w:r w:rsidRPr="00BE310A">
              <w:rPr>
                <w:sz w:val="20"/>
                <w:szCs w:val="20"/>
              </w:rPr>
              <w:t>Pioglitazonas</w:t>
            </w:r>
            <w:proofErr w:type="spellEnd"/>
          </w:p>
        </w:tc>
        <w:tc>
          <w:tcPr>
            <w:tcW w:w="2829" w:type="dxa"/>
          </w:tcPr>
          <w:p w:rsidR="003356A1" w:rsidRDefault="002A559A">
            <w:pPr>
              <w:rPr>
                <w:b/>
              </w:rPr>
            </w:pPr>
            <w:proofErr w:type="spellStart"/>
            <w:r>
              <w:rPr>
                <w:b/>
              </w:rPr>
              <w:t>Actos</w:t>
            </w:r>
            <w:proofErr w:type="spellEnd"/>
            <w:r>
              <w:rPr>
                <w:b/>
              </w:rPr>
              <w:t xml:space="preserve">, </w:t>
            </w:r>
            <w:proofErr w:type="spellStart"/>
            <w:r>
              <w:rPr>
                <w:b/>
              </w:rPr>
              <w:t>Aglitil</w:t>
            </w:r>
            <w:proofErr w:type="spellEnd"/>
            <w:r>
              <w:rPr>
                <w:b/>
              </w:rPr>
              <w:t xml:space="preserve">, </w:t>
            </w:r>
            <w:proofErr w:type="spellStart"/>
            <w:r>
              <w:rPr>
                <w:b/>
              </w:rPr>
              <w:t>Piotaz</w:t>
            </w:r>
            <w:proofErr w:type="spellEnd"/>
            <w:r>
              <w:rPr>
                <w:b/>
              </w:rPr>
              <w:t xml:space="preserve">, </w:t>
            </w:r>
            <w:proofErr w:type="spellStart"/>
            <w:r>
              <w:rPr>
                <w:b/>
              </w:rPr>
              <w:t>Stanglit</w:t>
            </w:r>
            <w:proofErr w:type="spellEnd"/>
          </w:p>
        </w:tc>
        <w:tc>
          <w:tcPr>
            <w:tcW w:w="2830" w:type="dxa"/>
          </w:tcPr>
          <w:p w:rsidR="003356A1" w:rsidRDefault="002A559A">
            <w:pPr>
              <w:rPr>
                <w:b/>
              </w:rPr>
            </w:pPr>
            <w:r>
              <w:rPr>
                <w:b/>
              </w:rPr>
              <w:t>Pode tomar no dia</w:t>
            </w:r>
          </w:p>
        </w:tc>
      </w:tr>
      <w:tr w:rsidR="002A559A" w:rsidTr="00903D03">
        <w:tc>
          <w:tcPr>
            <w:tcW w:w="8488" w:type="dxa"/>
            <w:gridSpan w:val="3"/>
          </w:tcPr>
          <w:p w:rsidR="002A559A" w:rsidRDefault="002A559A">
            <w:pPr>
              <w:rPr>
                <w:b/>
              </w:rPr>
            </w:pPr>
          </w:p>
        </w:tc>
      </w:tr>
      <w:tr w:rsidR="003356A1" w:rsidTr="003356A1">
        <w:tc>
          <w:tcPr>
            <w:tcW w:w="2829" w:type="dxa"/>
          </w:tcPr>
          <w:p w:rsidR="003356A1" w:rsidRPr="00BE310A" w:rsidRDefault="002A559A">
            <w:pPr>
              <w:rPr>
                <w:sz w:val="20"/>
                <w:szCs w:val="20"/>
              </w:rPr>
            </w:pPr>
            <w:r w:rsidRPr="00BE310A">
              <w:rPr>
                <w:sz w:val="20"/>
                <w:szCs w:val="20"/>
              </w:rPr>
              <w:t>Inibidores DPP4</w:t>
            </w:r>
          </w:p>
        </w:tc>
        <w:tc>
          <w:tcPr>
            <w:tcW w:w="2829" w:type="dxa"/>
          </w:tcPr>
          <w:p w:rsidR="003356A1" w:rsidRDefault="002A559A">
            <w:pPr>
              <w:rPr>
                <w:b/>
              </w:rPr>
            </w:pPr>
            <w:proofErr w:type="spellStart"/>
            <w:r w:rsidRPr="00BE310A">
              <w:t>Sitagliptina</w:t>
            </w:r>
            <w:proofErr w:type="spellEnd"/>
            <w:r>
              <w:rPr>
                <w:b/>
              </w:rPr>
              <w:t xml:space="preserve"> (</w:t>
            </w:r>
            <w:proofErr w:type="spellStart"/>
            <w:r>
              <w:rPr>
                <w:b/>
              </w:rPr>
              <w:t>Januvia</w:t>
            </w:r>
            <w:proofErr w:type="spellEnd"/>
            <w:r>
              <w:rPr>
                <w:b/>
              </w:rPr>
              <w:t xml:space="preserve">); </w:t>
            </w:r>
            <w:proofErr w:type="spellStart"/>
            <w:r w:rsidRPr="00BE310A">
              <w:t>Vidagliptina</w:t>
            </w:r>
            <w:proofErr w:type="spellEnd"/>
            <w:r>
              <w:rPr>
                <w:b/>
              </w:rPr>
              <w:t xml:space="preserve"> (</w:t>
            </w:r>
            <w:proofErr w:type="spellStart"/>
            <w:r>
              <w:rPr>
                <w:b/>
              </w:rPr>
              <w:t>Galvus</w:t>
            </w:r>
            <w:proofErr w:type="spellEnd"/>
            <w:r>
              <w:rPr>
                <w:b/>
              </w:rPr>
              <w:t>);</w:t>
            </w:r>
            <w:r w:rsidR="00BE310A">
              <w:rPr>
                <w:b/>
              </w:rPr>
              <w:t xml:space="preserve"> </w:t>
            </w:r>
            <w:proofErr w:type="spellStart"/>
            <w:r w:rsidRPr="00BE310A">
              <w:t>Saxagliptina</w:t>
            </w:r>
            <w:proofErr w:type="spellEnd"/>
            <w:r>
              <w:rPr>
                <w:b/>
              </w:rPr>
              <w:t xml:space="preserve"> (</w:t>
            </w:r>
            <w:proofErr w:type="spellStart"/>
            <w:r>
              <w:rPr>
                <w:b/>
              </w:rPr>
              <w:t>Onglyza</w:t>
            </w:r>
            <w:proofErr w:type="spellEnd"/>
            <w:r>
              <w:rPr>
                <w:b/>
              </w:rPr>
              <w:t>)</w:t>
            </w:r>
          </w:p>
        </w:tc>
        <w:tc>
          <w:tcPr>
            <w:tcW w:w="2830" w:type="dxa"/>
          </w:tcPr>
          <w:p w:rsidR="003356A1" w:rsidRDefault="002A559A">
            <w:pPr>
              <w:rPr>
                <w:b/>
              </w:rPr>
            </w:pPr>
            <w:r>
              <w:rPr>
                <w:b/>
              </w:rPr>
              <w:t>Não tomar no dia</w:t>
            </w:r>
          </w:p>
        </w:tc>
      </w:tr>
      <w:tr w:rsidR="002A559A" w:rsidTr="00902B73">
        <w:tc>
          <w:tcPr>
            <w:tcW w:w="8488" w:type="dxa"/>
            <w:gridSpan w:val="3"/>
          </w:tcPr>
          <w:p w:rsidR="002A559A" w:rsidRDefault="002A559A">
            <w:pPr>
              <w:rPr>
                <w:b/>
              </w:rPr>
            </w:pPr>
          </w:p>
        </w:tc>
      </w:tr>
      <w:tr w:rsidR="002A559A" w:rsidTr="003356A1">
        <w:tc>
          <w:tcPr>
            <w:tcW w:w="2829" w:type="dxa"/>
            <w:vMerge w:val="restart"/>
          </w:tcPr>
          <w:p w:rsidR="002A559A" w:rsidRPr="00BE310A" w:rsidRDefault="002A559A">
            <w:pPr>
              <w:rPr>
                <w:sz w:val="20"/>
                <w:szCs w:val="20"/>
              </w:rPr>
            </w:pPr>
            <w:proofErr w:type="spellStart"/>
            <w:r w:rsidRPr="00BE310A">
              <w:rPr>
                <w:sz w:val="20"/>
                <w:szCs w:val="20"/>
              </w:rPr>
              <w:t>Inibidorese</w:t>
            </w:r>
            <w:proofErr w:type="spellEnd"/>
            <w:r w:rsidRPr="00BE310A">
              <w:rPr>
                <w:sz w:val="20"/>
                <w:szCs w:val="20"/>
              </w:rPr>
              <w:t xml:space="preserve"> SGLT2</w:t>
            </w:r>
          </w:p>
        </w:tc>
        <w:tc>
          <w:tcPr>
            <w:tcW w:w="2829" w:type="dxa"/>
          </w:tcPr>
          <w:p w:rsidR="002A559A" w:rsidRDefault="002A559A">
            <w:pPr>
              <w:rPr>
                <w:b/>
              </w:rPr>
            </w:pPr>
            <w:proofErr w:type="spellStart"/>
            <w:r w:rsidRPr="00BE310A">
              <w:t>Canaglifozina</w:t>
            </w:r>
            <w:proofErr w:type="spellEnd"/>
            <w:r>
              <w:rPr>
                <w:b/>
              </w:rPr>
              <w:t xml:space="preserve"> (</w:t>
            </w:r>
            <w:proofErr w:type="spellStart"/>
            <w:r>
              <w:rPr>
                <w:b/>
              </w:rPr>
              <w:t>In</w:t>
            </w:r>
            <w:r w:rsidR="00DE2DBA">
              <w:rPr>
                <w:b/>
              </w:rPr>
              <w:t>v</w:t>
            </w:r>
            <w:r>
              <w:rPr>
                <w:b/>
              </w:rPr>
              <w:t>oka</w:t>
            </w:r>
            <w:r w:rsidR="00DE2DBA">
              <w:rPr>
                <w:b/>
              </w:rPr>
              <w:t>na</w:t>
            </w:r>
            <w:proofErr w:type="spellEnd"/>
            <w:r>
              <w:rPr>
                <w:b/>
              </w:rPr>
              <w:t xml:space="preserve">); </w:t>
            </w:r>
            <w:proofErr w:type="spellStart"/>
            <w:r w:rsidRPr="00BE310A">
              <w:t>Dapaglifozina</w:t>
            </w:r>
            <w:proofErr w:type="spellEnd"/>
            <w:r>
              <w:rPr>
                <w:b/>
              </w:rPr>
              <w:t xml:space="preserve"> (</w:t>
            </w:r>
            <w:proofErr w:type="spellStart"/>
            <w:r>
              <w:rPr>
                <w:b/>
              </w:rPr>
              <w:t>Forxiga</w:t>
            </w:r>
            <w:proofErr w:type="spellEnd"/>
            <w:r>
              <w:rPr>
                <w:b/>
              </w:rPr>
              <w:t xml:space="preserve">, </w:t>
            </w:r>
            <w:proofErr w:type="spellStart"/>
            <w:r>
              <w:rPr>
                <w:b/>
              </w:rPr>
              <w:t>Xigduo</w:t>
            </w:r>
            <w:proofErr w:type="spellEnd"/>
            <w:r>
              <w:rPr>
                <w:b/>
              </w:rPr>
              <w:t xml:space="preserve"> XR); </w:t>
            </w:r>
            <w:proofErr w:type="spellStart"/>
            <w:r w:rsidRPr="00BE310A">
              <w:t>Empaglifozina</w:t>
            </w:r>
            <w:proofErr w:type="spellEnd"/>
            <w:r>
              <w:rPr>
                <w:b/>
              </w:rPr>
              <w:t xml:space="preserve"> (</w:t>
            </w:r>
            <w:proofErr w:type="spellStart"/>
            <w:r>
              <w:rPr>
                <w:b/>
              </w:rPr>
              <w:t>Jardiance</w:t>
            </w:r>
            <w:r w:rsidR="00DE2DBA">
              <w:rPr>
                <w:b/>
              </w:rPr>
              <w:t>r</w:t>
            </w:r>
            <w:proofErr w:type="spellEnd"/>
            <w:r>
              <w:rPr>
                <w:b/>
              </w:rPr>
              <w:t>)</w:t>
            </w:r>
          </w:p>
        </w:tc>
        <w:tc>
          <w:tcPr>
            <w:tcW w:w="2830" w:type="dxa"/>
          </w:tcPr>
          <w:p w:rsidR="002A559A" w:rsidRDefault="002A559A">
            <w:pPr>
              <w:rPr>
                <w:b/>
              </w:rPr>
            </w:pPr>
            <w:r>
              <w:rPr>
                <w:b/>
              </w:rPr>
              <w:t>3 dias</w:t>
            </w:r>
          </w:p>
        </w:tc>
      </w:tr>
      <w:tr w:rsidR="002A559A" w:rsidTr="003356A1">
        <w:tc>
          <w:tcPr>
            <w:tcW w:w="2829" w:type="dxa"/>
            <w:vMerge/>
          </w:tcPr>
          <w:p w:rsidR="002A559A" w:rsidRDefault="002A559A">
            <w:pPr>
              <w:rPr>
                <w:b/>
              </w:rPr>
            </w:pPr>
          </w:p>
        </w:tc>
        <w:tc>
          <w:tcPr>
            <w:tcW w:w="2829" w:type="dxa"/>
          </w:tcPr>
          <w:p w:rsidR="002A559A" w:rsidRDefault="002A559A">
            <w:pPr>
              <w:rPr>
                <w:b/>
              </w:rPr>
            </w:pPr>
            <w:proofErr w:type="spellStart"/>
            <w:r w:rsidRPr="00BE310A">
              <w:t>Ertuglifozina</w:t>
            </w:r>
            <w:proofErr w:type="spellEnd"/>
            <w:r>
              <w:rPr>
                <w:b/>
              </w:rPr>
              <w:t xml:space="preserve"> (</w:t>
            </w:r>
            <w:proofErr w:type="spellStart"/>
            <w:r>
              <w:rPr>
                <w:b/>
              </w:rPr>
              <w:t>Steglatro</w:t>
            </w:r>
            <w:proofErr w:type="spellEnd"/>
            <w:r>
              <w:rPr>
                <w:b/>
              </w:rPr>
              <w:t>)</w:t>
            </w:r>
          </w:p>
        </w:tc>
        <w:tc>
          <w:tcPr>
            <w:tcW w:w="2830" w:type="dxa"/>
          </w:tcPr>
          <w:p w:rsidR="002A559A" w:rsidRDefault="002A559A">
            <w:pPr>
              <w:rPr>
                <w:b/>
              </w:rPr>
            </w:pPr>
            <w:r>
              <w:rPr>
                <w:b/>
              </w:rPr>
              <w:t>4 dias</w:t>
            </w:r>
          </w:p>
        </w:tc>
      </w:tr>
      <w:tr w:rsidR="002A559A" w:rsidTr="0063311D">
        <w:tc>
          <w:tcPr>
            <w:tcW w:w="8488" w:type="dxa"/>
            <w:gridSpan w:val="3"/>
          </w:tcPr>
          <w:p w:rsidR="002A559A" w:rsidRDefault="002A559A">
            <w:pPr>
              <w:rPr>
                <w:b/>
              </w:rPr>
            </w:pPr>
          </w:p>
        </w:tc>
      </w:tr>
      <w:tr w:rsidR="002A559A" w:rsidTr="003356A1">
        <w:tc>
          <w:tcPr>
            <w:tcW w:w="2829" w:type="dxa"/>
            <w:vMerge w:val="restart"/>
          </w:tcPr>
          <w:p w:rsidR="002A559A" w:rsidRPr="00BE310A" w:rsidRDefault="002A559A">
            <w:pPr>
              <w:rPr>
                <w:sz w:val="20"/>
                <w:szCs w:val="20"/>
              </w:rPr>
            </w:pPr>
            <w:r w:rsidRPr="00BE310A">
              <w:rPr>
                <w:sz w:val="20"/>
                <w:szCs w:val="20"/>
              </w:rPr>
              <w:t>Análogos GLP-1</w:t>
            </w:r>
          </w:p>
        </w:tc>
        <w:tc>
          <w:tcPr>
            <w:tcW w:w="2829" w:type="dxa"/>
          </w:tcPr>
          <w:p w:rsidR="002A559A" w:rsidRDefault="002A559A">
            <w:pPr>
              <w:rPr>
                <w:b/>
              </w:rPr>
            </w:pPr>
            <w:proofErr w:type="spellStart"/>
            <w:r w:rsidRPr="00BE310A">
              <w:t>Lixisenatida</w:t>
            </w:r>
            <w:proofErr w:type="spellEnd"/>
            <w:r>
              <w:rPr>
                <w:b/>
              </w:rPr>
              <w:t xml:space="preserve"> (</w:t>
            </w:r>
            <w:proofErr w:type="spellStart"/>
            <w:r>
              <w:rPr>
                <w:b/>
              </w:rPr>
              <w:t>Lyxumia</w:t>
            </w:r>
            <w:proofErr w:type="spellEnd"/>
            <w:r>
              <w:rPr>
                <w:b/>
              </w:rPr>
              <w:t>)</w:t>
            </w:r>
          </w:p>
        </w:tc>
        <w:tc>
          <w:tcPr>
            <w:tcW w:w="2830" w:type="dxa"/>
          </w:tcPr>
          <w:p w:rsidR="002A559A" w:rsidRDefault="002A559A">
            <w:pPr>
              <w:rPr>
                <w:b/>
              </w:rPr>
            </w:pPr>
            <w:r>
              <w:rPr>
                <w:b/>
              </w:rPr>
              <w:t>1 dia</w:t>
            </w:r>
          </w:p>
        </w:tc>
      </w:tr>
      <w:tr w:rsidR="002A559A" w:rsidTr="003356A1">
        <w:tc>
          <w:tcPr>
            <w:tcW w:w="2829" w:type="dxa"/>
            <w:vMerge/>
          </w:tcPr>
          <w:p w:rsidR="002A559A" w:rsidRDefault="002A559A">
            <w:pPr>
              <w:rPr>
                <w:b/>
              </w:rPr>
            </w:pPr>
          </w:p>
        </w:tc>
        <w:tc>
          <w:tcPr>
            <w:tcW w:w="2829" w:type="dxa"/>
          </w:tcPr>
          <w:p w:rsidR="002A559A" w:rsidRDefault="002A559A">
            <w:pPr>
              <w:rPr>
                <w:b/>
              </w:rPr>
            </w:pPr>
            <w:proofErr w:type="spellStart"/>
            <w:r w:rsidRPr="00BE310A">
              <w:t>Liraglutida</w:t>
            </w:r>
            <w:proofErr w:type="spellEnd"/>
            <w:r>
              <w:rPr>
                <w:b/>
              </w:rPr>
              <w:t xml:space="preserve"> (</w:t>
            </w:r>
            <w:proofErr w:type="spellStart"/>
            <w:r>
              <w:rPr>
                <w:b/>
              </w:rPr>
              <w:t>Victoza</w:t>
            </w:r>
            <w:proofErr w:type="spellEnd"/>
            <w:r>
              <w:rPr>
                <w:b/>
              </w:rPr>
              <w:t xml:space="preserve">, </w:t>
            </w:r>
            <w:proofErr w:type="spellStart"/>
            <w:r>
              <w:rPr>
                <w:b/>
              </w:rPr>
              <w:t>Saxenda</w:t>
            </w:r>
            <w:proofErr w:type="spellEnd"/>
            <w:r>
              <w:rPr>
                <w:b/>
              </w:rPr>
              <w:t>)</w:t>
            </w:r>
          </w:p>
        </w:tc>
        <w:tc>
          <w:tcPr>
            <w:tcW w:w="2830" w:type="dxa"/>
          </w:tcPr>
          <w:p w:rsidR="002A559A" w:rsidRDefault="002A559A">
            <w:pPr>
              <w:rPr>
                <w:b/>
              </w:rPr>
            </w:pPr>
            <w:r>
              <w:rPr>
                <w:b/>
              </w:rPr>
              <w:t>2 dias</w:t>
            </w:r>
          </w:p>
        </w:tc>
      </w:tr>
      <w:tr w:rsidR="002A559A" w:rsidTr="003356A1">
        <w:tc>
          <w:tcPr>
            <w:tcW w:w="2829" w:type="dxa"/>
            <w:vMerge/>
          </w:tcPr>
          <w:p w:rsidR="002A559A" w:rsidRDefault="002A559A">
            <w:pPr>
              <w:rPr>
                <w:b/>
              </w:rPr>
            </w:pPr>
          </w:p>
        </w:tc>
        <w:tc>
          <w:tcPr>
            <w:tcW w:w="2829" w:type="dxa"/>
          </w:tcPr>
          <w:p w:rsidR="002A559A" w:rsidRDefault="002A559A">
            <w:pPr>
              <w:rPr>
                <w:b/>
              </w:rPr>
            </w:pPr>
            <w:proofErr w:type="spellStart"/>
            <w:r w:rsidRPr="00BE310A">
              <w:t>Dulaglutida</w:t>
            </w:r>
            <w:proofErr w:type="spellEnd"/>
            <w:r>
              <w:rPr>
                <w:b/>
              </w:rPr>
              <w:t xml:space="preserve"> (</w:t>
            </w:r>
            <w:proofErr w:type="spellStart"/>
            <w:r>
              <w:rPr>
                <w:b/>
              </w:rPr>
              <w:t>Trulicity</w:t>
            </w:r>
            <w:proofErr w:type="spellEnd"/>
            <w:r>
              <w:rPr>
                <w:b/>
              </w:rPr>
              <w:t xml:space="preserve">); </w:t>
            </w:r>
            <w:proofErr w:type="spellStart"/>
            <w:r w:rsidRPr="00BE310A">
              <w:t>Tirzepatida</w:t>
            </w:r>
            <w:proofErr w:type="spellEnd"/>
            <w:r>
              <w:rPr>
                <w:b/>
              </w:rPr>
              <w:t xml:space="preserve"> (</w:t>
            </w:r>
            <w:proofErr w:type="spellStart"/>
            <w:r>
              <w:rPr>
                <w:b/>
              </w:rPr>
              <w:t>Mounjaro</w:t>
            </w:r>
            <w:proofErr w:type="spellEnd"/>
            <w:r>
              <w:rPr>
                <w:b/>
              </w:rPr>
              <w:t>)</w:t>
            </w:r>
          </w:p>
        </w:tc>
        <w:tc>
          <w:tcPr>
            <w:tcW w:w="2830" w:type="dxa"/>
          </w:tcPr>
          <w:p w:rsidR="002A559A" w:rsidRDefault="002A559A">
            <w:pPr>
              <w:rPr>
                <w:b/>
              </w:rPr>
            </w:pPr>
            <w:r>
              <w:rPr>
                <w:b/>
              </w:rPr>
              <w:t>15 dias</w:t>
            </w:r>
          </w:p>
        </w:tc>
      </w:tr>
      <w:tr w:rsidR="002A559A" w:rsidTr="003356A1">
        <w:tc>
          <w:tcPr>
            <w:tcW w:w="2829" w:type="dxa"/>
            <w:vMerge/>
          </w:tcPr>
          <w:p w:rsidR="002A559A" w:rsidRDefault="002A559A">
            <w:pPr>
              <w:rPr>
                <w:b/>
              </w:rPr>
            </w:pPr>
          </w:p>
        </w:tc>
        <w:tc>
          <w:tcPr>
            <w:tcW w:w="2829" w:type="dxa"/>
          </w:tcPr>
          <w:p w:rsidR="002A559A" w:rsidRDefault="002A559A">
            <w:pPr>
              <w:rPr>
                <w:b/>
              </w:rPr>
            </w:pPr>
            <w:proofErr w:type="spellStart"/>
            <w:r w:rsidRPr="00BE310A">
              <w:t>Semaglutida</w:t>
            </w:r>
            <w:proofErr w:type="spellEnd"/>
            <w:r>
              <w:rPr>
                <w:b/>
              </w:rPr>
              <w:t xml:space="preserve"> (</w:t>
            </w:r>
            <w:proofErr w:type="spellStart"/>
            <w:r>
              <w:rPr>
                <w:b/>
              </w:rPr>
              <w:t>Rybelsus</w:t>
            </w:r>
            <w:proofErr w:type="spellEnd"/>
            <w:r>
              <w:rPr>
                <w:b/>
              </w:rPr>
              <w:t xml:space="preserve"> e </w:t>
            </w:r>
            <w:proofErr w:type="spellStart"/>
            <w:r>
              <w:rPr>
                <w:b/>
              </w:rPr>
              <w:t>Ozempic</w:t>
            </w:r>
            <w:proofErr w:type="spellEnd"/>
            <w:r>
              <w:rPr>
                <w:b/>
              </w:rPr>
              <w:t>)</w:t>
            </w:r>
          </w:p>
        </w:tc>
        <w:tc>
          <w:tcPr>
            <w:tcW w:w="2830" w:type="dxa"/>
          </w:tcPr>
          <w:p w:rsidR="002A559A" w:rsidRDefault="002A559A">
            <w:pPr>
              <w:rPr>
                <w:b/>
              </w:rPr>
            </w:pPr>
            <w:r>
              <w:rPr>
                <w:b/>
              </w:rPr>
              <w:t>21 dias</w:t>
            </w:r>
          </w:p>
        </w:tc>
      </w:tr>
      <w:tr w:rsidR="00DE2DBA" w:rsidTr="009B3A3D">
        <w:trPr>
          <w:trHeight w:val="596"/>
        </w:trPr>
        <w:tc>
          <w:tcPr>
            <w:tcW w:w="8488" w:type="dxa"/>
            <w:gridSpan w:val="3"/>
          </w:tcPr>
          <w:p w:rsidR="00DE2DBA" w:rsidRDefault="00DE2DBA">
            <w:pPr>
              <w:rPr>
                <w:b/>
              </w:rPr>
            </w:pPr>
          </w:p>
        </w:tc>
      </w:tr>
      <w:tr w:rsidR="00DE2DBA" w:rsidTr="000F5E51">
        <w:tc>
          <w:tcPr>
            <w:tcW w:w="8488" w:type="dxa"/>
            <w:gridSpan w:val="3"/>
          </w:tcPr>
          <w:p w:rsidR="00DE2DBA" w:rsidRPr="00DE2DBA" w:rsidRDefault="00DE2DBA" w:rsidP="00DE2DBA">
            <w:pPr>
              <w:jc w:val="center"/>
              <w:rPr>
                <w:b/>
              </w:rPr>
            </w:pPr>
            <w:r w:rsidRPr="00DE2DBA">
              <w:rPr>
                <w:b/>
              </w:rPr>
              <w:t>ANTAGONISTAS OPIÓIDES</w:t>
            </w:r>
          </w:p>
        </w:tc>
      </w:tr>
      <w:tr w:rsidR="00360D72" w:rsidTr="00DF6E7F">
        <w:tc>
          <w:tcPr>
            <w:tcW w:w="8488" w:type="dxa"/>
            <w:gridSpan w:val="3"/>
          </w:tcPr>
          <w:p w:rsidR="00360D72" w:rsidRDefault="00360D72">
            <w:pPr>
              <w:rPr>
                <w:b/>
              </w:rPr>
            </w:pPr>
          </w:p>
        </w:tc>
      </w:tr>
      <w:tr w:rsidR="00DE2DBA" w:rsidTr="003356A1">
        <w:tc>
          <w:tcPr>
            <w:tcW w:w="2829" w:type="dxa"/>
          </w:tcPr>
          <w:p w:rsidR="00DE2DBA" w:rsidRPr="00DE2DBA" w:rsidRDefault="00DE2DBA">
            <w:r>
              <w:t>Naltrexona</w:t>
            </w:r>
          </w:p>
        </w:tc>
        <w:tc>
          <w:tcPr>
            <w:tcW w:w="2829" w:type="dxa"/>
          </w:tcPr>
          <w:p w:rsidR="00DE2DBA" w:rsidRPr="00DE2DBA" w:rsidRDefault="00DE2DBA">
            <w:pPr>
              <w:rPr>
                <w:b/>
              </w:rPr>
            </w:pPr>
            <w:r w:rsidRPr="00DE2DBA">
              <w:rPr>
                <w:b/>
              </w:rPr>
              <w:t>Revia</w:t>
            </w:r>
          </w:p>
        </w:tc>
        <w:tc>
          <w:tcPr>
            <w:tcW w:w="2830" w:type="dxa"/>
          </w:tcPr>
          <w:p w:rsidR="00DE2DBA" w:rsidRDefault="00DE2DBA">
            <w:pPr>
              <w:rPr>
                <w:b/>
              </w:rPr>
            </w:pPr>
            <w:r>
              <w:rPr>
                <w:b/>
              </w:rPr>
              <w:t>72 horas (se for intramuscular, informar equipe anestésico-cirúrgica)</w:t>
            </w:r>
          </w:p>
        </w:tc>
      </w:tr>
      <w:tr w:rsidR="00DE2DBA" w:rsidTr="003356A1">
        <w:tc>
          <w:tcPr>
            <w:tcW w:w="2829" w:type="dxa"/>
          </w:tcPr>
          <w:p w:rsidR="00DE2DBA" w:rsidRDefault="00DE2DBA">
            <w:proofErr w:type="spellStart"/>
            <w:r>
              <w:t>Naltrexona+Bupropiona</w:t>
            </w:r>
            <w:proofErr w:type="spellEnd"/>
          </w:p>
        </w:tc>
        <w:tc>
          <w:tcPr>
            <w:tcW w:w="2829" w:type="dxa"/>
          </w:tcPr>
          <w:p w:rsidR="00DE2DBA" w:rsidRPr="00DE2DBA" w:rsidRDefault="00DE2DBA">
            <w:pPr>
              <w:rPr>
                <w:b/>
              </w:rPr>
            </w:pPr>
            <w:proofErr w:type="spellStart"/>
            <w:r w:rsidRPr="00DE2DBA">
              <w:rPr>
                <w:b/>
              </w:rPr>
              <w:t>Contrave</w:t>
            </w:r>
            <w:proofErr w:type="spellEnd"/>
          </w:p>
        </w:tc>
        <w:tc>
          <w:tcPr>
            <w:tcW w:w="2830" w:type="dxa"/>
          </w:tcPr>
          <w:p w:rsidR="00DE2DBA" w:rsidRDefault="00DE2DBA">
            <w:pPr>
              <w:rPr>
                <w:b/>
              </w:rPr>
            </w:pPr>
            <w:r>
              <w:rPr>
                <w:b/>
              </w:rPr>
              <w:t>72h</w:t>
            </w:r>
          </w:p>
        </w:tc>
      </w:tr>
      <w:tr w:rsidR="00360D72" w:rsidTr="00DA3CD5">
        <w:tc>
          <w:tcPr>
            <w:tcW w:w="8488" w:type="dxa"/>
            <w:gridSpan w:val="3"/>
          </w:tcPr>
          <w:p w:rsidR="00360D72" w:rsidRDefault="00360D72">
            <w:pPr>
              <w:rPr>
                <w:b/>
              </w:rPr>
            </w:pPr>
          </w:p>
        </w:tc>
      </w:tr>
      <w:tr w:rsidR="00360D72" w:rsidTr="008850EB">
        <w:tc>
          <w:tcPr>
            <w:tcW w:w="8488" w:type="dxa"/>
            <w:gridSpan w:val="3"/>
          </w:tcPr>
          <w:p w:rsidR="00360D72" w:rsidRDefault="00360D72" w:rsidP="00360D72">
            <w:pPr>
              <w:jc w:val="center"/>
              <w:rPr>
                <w:b/>
              </w:rPr>
            </w:pPr>
            <w:r>
              <w:rPr>
                <w:b/>
              </w:rPr>
              <w:t>OUTROS</w:t>
            </w:r>
          </w:p>
        </w:tc>
      </w:tr>
      <w:tr w:rsidR="00360D72" w:rsidTr="0052691B">
        <w:tc>
          <w:tcPr>
            <w:tcW w:w="8488" w:type="dxa"/>
            <w:gridSpan w:val="3"/>
          </w:tcPr>
          <w:p w:rsidR="00360D72" w:rsidRDefault="00360D72">
            <w:pPr>
              <w:rPr>
                <w:b/>
              </w:rPr>
            </w:pPr>
          </w:p>
        </w:tc>
      </w:tr>
      <w:tr w:rsidR="00360D72" w:rsidTr="003356A1">
        <w:tc>
          <w:tcPr>
            <w:tcW w:w="2829" w:type="dxa"/>
          </w:tcPr>
          <w:p w:rsidR="00360D72" w:rsidRDefault="00360D72">
            <w:r>
              <w:t xml:space="preserve">Inibidores da </w:t>
            </w:r>
            <w:proofErr w:type="spellStart"/>
            <w:r>
              <w:t>fosfodiesterase</w:t>
            </w:r>
            <w:proofErr w:type="spellEnd"/>
          </w:p>
        </w:tc>
        <w:tc>
          <w:tcPr>
            <w:tcW w:w="2829" w:type="dxa"/>
          </w:tcPr>
          <w:p w:rsidR="00360D72" w:rsidRDefault="00360D72">
            <w:pPr>
              <w:rPr>
                <w:b/>
              </w:rPr>
            </w:pPr>
            <w:proofErr w:type="spellStart"/>
            <w:r>
              <w:rPr>
                <w:b/>
              </w:rPr>
              <w:t>Sildenafil</w:t>
            </w:r>
            <w:proofErr w:type="spellEnd"/>
          </w:p>
          <w:p w:rsidR="00360D72" w:rsidRDefault="00360D72">
            <w:pPr>
              <w:rPr>
                <w:b/>
              </w:rPr>
            </w:pPr>
            <w:proofErr w:type="spellStart"/>
            <w:r>
              <w:rPr>
                <w:b/>
              </w:rPr>
              <w:t>Tadalafil</w:t>
            </w:r>
            <w:proofErr w:type="spellEnd"/>
          </w:p>
          <w:p w:rsidR="00360D72" w:rsidRDefault="00360D72">
            <w:pPr>
              <w:rPr>
                <w:b/>
              </w:rPr>
            </w:pPr>
            <w:proofErr w:type="spellStart"/>
            <w:r>
              <w:rPr>
                <w:b/>
              </w:rPr>
              <w:t>Vardanafil</w:t>
            </w:r>
            <w:proofErr w:type="spellEnd"/>
          </w:p>
        </w:tc>
        <w:tc>
          <w:tcPr>
            <w:tcW w:w="2830" w:type="dxa"/>
          </w:tcPr>
          <w:p w:rsidR="00360D72" w:rsidRDefault="00360D72">
            <w:pPr>
              <w:rPr>
                <w:b/>
              </w:rPr>
            </w:pPr>
            <w:r>
              <w:rPr>
                <w:b/>
              </w:rPr>
              <w:t>15 dias antes da cirurgia, EXCETO se for para tratamento de hipertensão pulmonar</w:t>
            </w:r>
          </w:p>
        </w:tc>
      </w:tr>
      <w:tr w:rsidR="00EB1CE1" w:rsidTr="007238AD">
        <w:tc>
          <w:tcPr>
            <w:tcW w:w="8488" w:type="dxa"/>
            <w:gridSpan w:val="3"/>
          </w:tcPr>
          <w:p w:rsidR="00EB1CE1" w:rsidRDefault="00EB1CE1">
            <w:pPr>
              <w:rPr>
                <w:b/>
              </w:rPr>
            </w:pPr>
          </w:p>
        </w:tc>
      </w:tr>
      <w:tr w:rsidR="00C52924" w:rsidTr="004C102E">
        <w:tc>
          <w:tcPr>
            <w:tcW w:w="2829" w:type="dxa"/>
          </w:tcPr>
          <w:p w:rsidR="00C52924" w:rsidRDefault="00C52924">
            <w:r>
              <w:t xml:space="preserve">Medicamentos a base de CBD – </w:t>
            </w:r>
            <w:r w:rsidRPr="00C52924">
              <w:rPr>
                <w:b/>
              </w:rPr>
              <w:t>maconha medicinal</w:t>
            </w:r>
          </w:p>
        </w:tc>
        <w:tc>
          <w:tcPr>
            <w:tcW w:w="5659" w:type="dxa"/>
            <w:gridSpan w:val="2"/>
          </w:tcPr>
          <w:p w:rsidR="00C52924" w:rsidRDefault="00C52924">
            <w:pPr>
              <w:rPr>
                <w:b/>
              </w:rPr>
            </w:pPr>
            <w:r>
              <w:rPr>
                <w:b/>
              </w:rPr>
              <w:t xml:space="preserve">Não existe consenso quanto a necessidade e tempo de suspensão. Caso você seja usuário de medicamentos a base de CBD, avise previamente seu médico. O uso de </w:t>
            </w:r>
            <w:proofErr w:type="spellStart"/>
            <w:r>
              <w:rPr>
                <w:b/>
              </w:rPr>
              <w:t>cannabis</w:t>
            </w:r>
            <w:proofErr w:type="spellEnd"/>
            <w:r>
              <w:rPr>
                <w:b/>
              </w:rPr>
              <w:t xml:space="preserve"> de forma recreativa é contraindicado por pelo menos 72 horas antes do procedimento.</w:t>
            </w:r>
          </w:p>
        </w:tc>
      </w:tr>
    </w:tbl>
    <w:p w:rsidR="003356A1" w:rsidRPr="003356A1" w:rsidRDefault="003356A1">
      <w:pPr>
        <w:rPr>
          <w:b/>
        </w:rPr>
      </w:pPr>
    </w:p>
    <w:sectPr w:rsidR="003356A1" w:rsidRPr="003356A1" w:rsidSect="00EC054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950D7"/>
    <w:multiLevelType w:val="multilevel"/>
    <w:tmpl w:val="347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EA"/>
    <w:rsid w:val="00024C3D"/>
    <w:rsid w:val="00072639"/>
    <w:rsid w:val="001854DC"/>
    <w:rsid w:val="001944DD"/>
    <w:rsid w:val="001A4BDF"/>
    <w:rsid w:val="001B7F08"/>
    <w:rsid w:val="00235D16"/>
    <w:rsid w:val="00242495"/>
    <w:rsid w:val="002A1E84"/>
    <w:rsid w:val="002A559A"/>
    <w:rsid w:val="003356A1"/>
    <w:rsid w:val="00357D7A"/>
    <w:rsid w:val="00360D72"/>
    <w:rsid w:val="00362A24"/>
    <w:rsid w:val="004A2A15"/>
    <w:rsid w:val="004B568A"/>
    <w:rsid w:val="0052487A"/>
    <w:rsid w:val="00570A08"/>
    <w:rsid w:val="00587D63"/>
    <w:rsid w:val="00604356"/>
    <w:rsid w:val="00664752"/>
    <w:rsid w:val="0069705F"/>
    <w:rsid w:val="006D7F06"/>
    <w:rsid w:val="007525D6"/>
    <w:rsid w:val="0075765D"/>
    <w:rsid w:val="007D367E"/>
    <w:rsid w:val="008E456C"/>
    <w:rsid w:val="00901E71"/>
    <w:rsid w:val="00953775"/>
    <w:rsid w:val="00976253"/>
    <w:rsid w:val="009C3BCD"/>
    <w:rsid w:val="00A426C9"/>
    <w:rsid w:val="00B207CE"/>
    <w:rsid w:val="00B3194F"/>
    <w:rsid w:val="00B44BE7"/>
    <w:rsid w:val="00B917FA"/>
    <w:rsid w:val="00BE310A"/>
    <w:rsid w:val="00C52924"/>
    <w:rsid w:val="00C75EB3"/>
    <w:rsid w:val="00CD261C"/>
    <w:rsid w:val="00DE2DBA"/>
    <w:rsid w:val="00DE740E"/>
    <w:rsid w:val="00E33B4C"/>
    <w:rsid w:val="00E814FA"/>
    <w:rsid w:val="00EB1CE1"/>
    <w:rsid w:val="00EC054A"/>
    <w:rsid w:val="00ED54EA"/>
    <w:rsid w:val="00EF6166"/>
    <w:rsid w:val="00F10E8C"/>
    <w:rsid w:val="00F862C3"/>
    <w:rsid w:val="00FA5C63"/>
    <w:rsid w:val="00FE6A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6683484"/>
  <w15:chartTrackingRefBased/>
  <w15:docId w15:val="{CE65D74F-C314-1944-B476-F66F6E0C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D54EA"/>
    <w:pPr>
      <w:spacing w:before="100" w:beforeAutospacing="1" w:after="100" w:afterAutospacing="1"/>
    </w:pPr>
    <w:rPr>
      <w:rFonts w:ascii="Times New Roman" w:eastAsia="Times New Roman" w:hAnsi="Times New Roman" w:cs="Times New Roman"/>
      <w:lang w:eastAsia="pt-BR"/>
    </w:rPr>
  </w:style>
  <w:style w:type="table" w:styleId="Tabelacomgrade">
    <w:name w:val="Table Grid"/>
    <w:basedOn w:val="Tabelanormal"/>
    <w:uiPriority w:val="39"/>
    <w:rsid w:val="00242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EF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06336">
      <w:bodyDiv w:val="1"/>
      <w:marLeft w:val="0"/>
      <w:marRight w:val="0"/>
      <w:marTop w:val="0"/>
      <w:marBottom w:val="0"/>
      <w:divBdr>
        <w:top w:val="none" w:sz="0" w:space="0" w:color="auto"/>
        <w:left w:val="none" w:sz="0" w:space="0" w:color="auto"/>
        <w:bottom w:val="none" w:sz="0" w:space="0" w:color="auto"/>
        <w:right w:val="none" w:sz="0" w:space="0" w:color="auto"/>
      </w:divBdr>
    </w:div>
    <w:div w:id="688680324">
      <w:bodyDiv w:val="1"/>
      <w:marLeft w:val="0"/>
      <w:marRight w:val="0"/>
      <w:marTop w:val="0"/>
      <w:marBottom w:val="0"/>
      <w:divBdr>
        <w:top w:val="none" w:sz="0" w:space="0" w:color="auto"/>
        <w:left w:val="none" w:sz="0" w:space="0" w:color="auto"/>
        <w:bottom w:val="none" w:sz="0" w:space="0" w:color="auto"/>
        <w:right w:val="none" w:sz="0" w:space="0" w:color="auto"/>
      </w:divBdr>
      <w:divsChild>
        <w:div w:id="99183328">
          <w:marLeft w:val="0"/>
          <w:marRight w:val="0"/>
          <w:marTop w:val="0"/>
          <w:marBottom w:val="0"/>
          <w:divBdr>
            <w:top w:val="none" w:sz="0" w:space="0" w:color="auto"/>
            <w:left w:val="none" w:sz="0" w:space="0" w:color="auto"/>
            <w:bottom w:val="none" w:sz="0" w:space="0" w:color="auto"/>
            <w:right w:val="none" w:sz="0" w:space="0" w:color="auto"/>
          </w:divBdr>
          <w:divsChild>
            <w:div w:id="1843472380">
              <w:marLeft w:val="0"/>
              <w:marRight w:val="0"/>
              <w:marTop w:val="0"/>
              <w:marBottom w:val="0"/>
              <w:divBdr>
                <w:top w:val="none" w:sz="0" w:space="0" w:color="auto"/>
                <w:left w:val="none" w:sz="0" w:space="0" w:color="auto"/>
                <w:bottom w:val="none" w:sz="0" w:space="0" w:color="auto"/>
                <w:right w:val="none" w:sz="0" w:space="0" w:color="auto"/>
              </w:divBdr>
              <w:divsChild>
                <w:div w:id="1568104474">
                  <w:marLeft w:val="0"/>
                  <w:marRight w:val="0"/>
                  <w:marTop w:val="0"/>
                  <w:marBottom w:val="0"/>
                  <w:divBdr>
                    <w:top w:val="none" w:sz="0" w:space="0" w:color="auto"/>
                    <w:left w:val="none" w:sz="0" w:space="0" w:color="auto"/>
                    <w:bottom w:val="none" w:sz="0" w:space="0" w:color="auto"/>
                    <w:right w:val="none" w:sz="0" w:space="0" w:color="auto"/>
                  </w:divBdr>
                </w:div>
              </w:divsChild>
            </w:div>
            <w:div w:id="378167239">
              <w:marLeft w:val="0"/>
              <w:marRight w:val="0"/>
              <w:marTop w:val="0"/>
              <w:marBottom w:val="0"/>
              <w:divBdr>
                <w:top w:val="none" w:sz="0" w:space="0" w:color="auto"/>
                <w:left w:val="none" w:sz="0" w:space="0" w:color="auto"/>
                <w:bottom w:val="none" w:sz="0" w:space="0" w:color="auto"/>
                <w:right w:val="none" w:sz="0" w:space="0" w:color="auto"/>
              </w:divBdr>
              <w:divsChild>
                <w:div w:id="128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9646">
      <w:bodyDiv w:val="1"/>
      <w:marLeft w:val="0"/>
      <w:marRight w:val="0"/>
      <w:marTop w:val="0"/>
      <w:marBottom w:val="0"/>
      <w:divBdr>
        <w:top w:val="none" w:sz="0" w:space="0" w:color="auto"/>
        <w:left w:val="none" w:sz="0" w:space="0" w:color="auto"/>
        <w:bottom w:val="none" w:sz="0" w:space="0" w:color="auto"/>
        <w:right w:val="none" w:sz="0" w:space="0" w:color="auto"/>
      </w:divBdr>
    </w:div>
    <w:div w:id="974142069">
      <w:bodyDiv w:val="1"/>
      <w:marLeft w:val="0"/>
      <w:marRight w:val="0"/>
      <w:marTop w:val="0"/>
      <w:marBottom w:val="0"/>
      <w:divBdr>
        <w:top w:val="none" w:sz="0" w:space="0" w:color="auto"/>
        <w:left w:val="none" w:sz="0" w:space="0" w:color="auto"/>
        <w:bottom w:val="none" w:sz="0" w:space="0" w:color="auto"/>
        <w:right w:val="none" w:sz="0" w:space="0" w:color="auto"/>
      </w:divBdr>
    </w:div>
    <w:div w:id="1650674192">
      <w:bodyDiv w:val="1"/>
      <w:marLeft w:val="0"/>
      <w:marRight w:val="0"/>
      <w:marTop w:val="0"/>
      <w:marBottom w:val="0"/>
      <w:divBdr>
        <w:top w:val="none" w:sz="0" w:space="0" w:color="auto"/>
        <w:left w:val="none" w:sz="0" w:space="0" w:color="auto"/>
        <w:bottom w:val="none" w:sz="0" w:space="0" w:color="auto"/>
        <w:right w:val="none" w:sz="0" w:space="0" w:color="auto"/>
      </w:divBdr>
    </w:div>
    <w:div w:id="193613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1278</Words>
  <Characters>6905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2025-04-14T16:03:00Z</dcterms:created>
  <dcterms:modified xsi:type="dcterms:W3CDTF">2025-04-14T16:36:00Z</dcterms:modified>
</cp:coreProperties>
</file>