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27D" w14:textId="77777777" w:rsidR="00BC7C75" w:rsidRDefault="00BC7C75"/>
    <w:p w14:paraId="237BCC4A" w14:textId="77777777" w:rsidR="00BC7C75" w:rsidRDefault="00BC7C75"/>
    <w:p w14:paraId="5F58F57E" w14:textId="77777777" w:rsidR="00BC7C75" w:rsidRDefault="00000000">
      <w:pPr>
        <w:spacing w:line="254" w:lineRule="auto"/>
        <w:jc w:val="center"/>
      </w:pPr>
      <w:r>
        <w:rPr>
          <w:rFonts w:cs="EB Garamond"/>
          <w:b/>
          <w:color w:val="374A65"/>
          <w:sz w:val="44"/>
        </w:rPr>
        <w:t>THE MISSING</w:t>
      </w:r>
      <w:r>
        <w:rPr>
          <w:rFonts w:cs="EB Garamond"/>
          <w:b/>
          <w:color w:val="374A65"/>
          <w:sz w:val="44"/>
        </w:rPr>
        <w:br/>
        <w:t>LAYER IN HEALING</w:t>
      </w:r>
    </w:p>
    <w:p w14:paraId="72CECEF8" w14:textId="77777777" w:rsidR="00BC7C75" w:rsidRDefault="00000000">
      <w:pPr>
        <w:spacing w:after="360" w:line="283" w:lineRule="auto"/>
        <w:jc w:val="center"/>
      </w:pPr>
      <w:r>
        <w:rPr>
          <w:rFonts w:ascii="Inter" w:hAnsi="Inter" w:cs="Inter"/>
          <w:sz w:val="24"/>
        </w:rPr>
        <w:t>The Novorêx Method</w:t>
      </w:r>
      <w:r>
        <w:rPr>
          <w:rFonts w:ascii="Inter" w:hAnsi="Inter" w:cs="Inter"/>
          <w:sz w:val="24"/>
        </w:rPr>
        <w:br/>
        <w:t>for Neuroemotional Care</w:t>
      </w:r>
    </w:p>
    <w:p w14:paraId="02E6E507" w14:textId="77777777" w:rsidR="00BC7C75" w:rsidRDefault="00000000">
      <w:pPr>
        <w:spacing w:after="440"/>
        <w:jc w:val="center"/>
      </w:pPr>
      <w:r>
        <w:rPr>
          <w:noProof/>
        </w:rPr>
        <w:drawing>
          <wp:inline distT="0" distB="0" distL="0" distR="0" wp14:anchorId="39EF4994" wp14:editId="2BE690E1">
            <wp:extent cx="2423160" cy="2423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f_book.png"/>
                    <pic:cNvPicPr/>
                  </pic:nvPicPr>
                  <pic:blipFill>
                    <a:blip r:embed="rId8"/>
                    <a:stretch>
                      <a:fillRect/>
                    </a:stretch>
                  </pic:blipFill>
                  <pic:spPr>
                    <a:xfrm>
                      <a:off x="0" y="0"/>
                      <a:ext cx="2423160" cy="2423160"/>
                    </a:xfrm>
                    <a:prstGeom prst="rect">
                      <a:avLst/>
                    </a:prstGeom>
                  </pic:spPr>
                </pic:pic>
              </a:graphicData>
            </a:graphic>
          </wp:inline>
        </w:drawing>
      </w:r>
    </w:p>
    <w:p w14:paraId="6EECE46E" w14:textId="77777777" w:rsidR="00BC7C75" w:rsidRDefault="00000000">
      <w:pPr>
        <w:spacing w:before="80"/>
        <w:jc w:val="center"/>
        <w:rPr>
          <w:rFonts w:cs="EB Garamond"/>
          <w:sz w:val="33"/>
        </w:rPr>
      </w:pPr>
      <w:r>
        <w:rPr>
          <w:rFonts w:cs="EB Garamond"/>
          <w:sz w:val="33"/>
        </w:rPr>
        <w:t>Dr. Sam Sater MD</w:t>
      </w:r>
    </w:p>
    <w:p w14:paraId="5FA42D4E" w14:textId="1620B1D4" w:rsidR="00C75B07" w:rsidRDefault="00C75B07">
      <w:pPr>
        <w:spacing w:before="80"/>
        <w:jc w:val="center"/>
      </w:pPr>
      <w:r>
        <w:rPr>
          <w:rFonts w:cs="EB Garamond"/>
          <w:sz w:val="33"/>
        </w:rPr>
        <w:t>April 20, 2026</w:t>
      </w:r>
    </w:p>
    <w:p w14:paraId="11043438" w14:textId="77777777" w:rsidR="00BC7C75" w:rsidRDefault="00000000">
      <w:r>
        <w:br w:type="page"/>
      </w:r>
    </w:p>
    <w:p w14:paraId="69541418" w14:textId="77777777" w:rsidR="00BC7C75" w:rsidRDefault="00BC7C75"/>
    <w:p w14:paraId="5993CF0F" w14:textId="77777777" w:rsidR="00BC7C75" w:rsidRDefault="00BC7C75"/>
    <w:p w14:paraId="167B5356" w14:textId="77777777" w:rsidR="00BC7C75" w:rsidRDefault="00000000">
      <w:pPr>
        <w:spacing w:after="160"/>
        <w:jc w:val="center"/>
      </w:pPr>
      <w:r>
        <w:rPr>
          <w:rFonts w:cs="EB Garamond"/>
          <w:b/>
          <w:color w:val="374A65"/>
          <w:sz w:val="36"/>
        </w:rPr>
        <w:t>The Missing Layer in Healing</w:t>
      </w:r>
    </w:p>
    <w:p w14:paraId="1438B867" w14:textId="77777777" w:rsidR="00BC7C75" w:rsidRDefault="00000000">
      <w:pPr>
        <w:spacing w:after="360"/>
        <w:jc w:val="center"/>
      </w:pPr>
      <w:r>
        <w:rPr>
          <w:rFonts w:ascii="Inter" w:hAnsi="Inter" w:cs="Inter"/>
          <w:color w:val="6E6A66"/>
        </w:rPr>
        <w:t>Chapter One Sample</w:t>
      </w:r>
    </w:p>
    <w:p w14:paraId="0B93F960" w14:textId="77777777" w:rsidR="002C13BD" w:rsidRDefault="00000000" w:rsidP="002C13BD">
      <w:pPr>
        <w:pBdr>
          <w:top w:val="single" w:sz="6" w:space="2" w:color="D6D1CB"/>
          <w:bottom w:val="single" w:sz="6" w:space="2" w:color="D6D1CB"/>
        </w:pBdr>
        <w:shd w:val="clear" w:color="auto" w:fill="F8F6F2"/>
        <w:spacing w:after="0" w:line="293" w:lineRule="auto"/>
        <w:ind w:left="504" w:right="504"/>
        <w:jc w:val="center"/>
        <w:rPr>
          <w:rFonts w:ascii="Inter" w:hAnsi="Inter" w:cs="Inter"/>
          <w:sz w:val="20"/>
        </w:rPr>
      </w:pPr>
      <w:r>
        <w:rPr>
          <w:rFonts w:ascii="Inter" w:hAnsi="Inter" w:cs="Inter"/>
          <w:sz w:val="20"/>
        </w:rPr>
        <w:t>Sample chapter</w:t>
      </w:r>
      <w:r w:rsidR="002C13BD">
        <w:rPr>
          <w:rFonts w:ascii="Inter" w:hAnsi="Inter" w:cs="Inter"/>
          <w:sz w:val="20"/>
        </w:rPr>
        <w:t xml:space="preserve"> discretion:</w:t>
      </w:r>
      <w:r>
        <w:rPr>
          <w:rFonts w:ascii="Inter" w:hAnsi="Inter" w:cs="Inter"/>
          <w:sz w:val="20"/>
        </w:rPr>
        <w:br/>
      </w:r>
    </w:p>
    <w:p w14:paraId="5F06F6B2" w14:textId="3C7C674E" w:rsidR="00BC7C75" w:rsidRDefault="00000000" w:rsidP="002C13BD">
      <w:pPr>
        <w:pBdr>
          <w:top w:val="single" w:sz="6" w:space="2" w:color="D6D1CB"/>
          <w:bottom w:val="single" w:sz="6" w:space="2" w:color="D6D1CB"/>
        </w:pBdr>
        <w:shd w:val="clear" w:color="auto" w:fill="F8F6F2"/>
        <w:spacing w:after="0" w:line="293" w:lineRule="auto"/>
        <w:ind w:left="504" w:right="504"/>
        <w:jc w:val="center"/>
        <w:rPr>
          <w:rFonts w:ascii="Inter" w:hAnsi="Inter" w:cs="Inter"/>
          <w:sz w:val="20"/>
        </w:rPr>
      </w:pPr>
      <w:r>
        <w:rPr>
          <w:rFonts w:ascii="Inter" w:hAnsi="Inter" w:cs="Inter"/>
          <w:sz w:val="20"/>
        </w:rPr>
        <w:t>This is not the full or final book.</w:t>
      </w:r>
    </w:p>
    <w:p w14:paraId="4B0AE3BA" w14:textId="674E7FAF" w:rsidR="002C13BD" w:rsidRDefault="002C13BD" w:rsidP="002C13BD">
      <w:pPr>
        <w:pBdr>
          <w:top w:val="single" w:sz="6" w:space="2" w:color="D6D1CB"/>
          <w:bottom w:val="single" w:sz="6" w:space="2" w:color="D6D1CB"/>
        </w:pBdr>
        <w:shd w:val="clear" w:color="auto" w:fill="F8F6F2"/>
        <w:spacing w:after="0" w:line="293" w:lineRule="auto"/>
        <w:ind w:left="504" w:right="504"/>
        <w:jc w:val="center"/>
      </w:pPr>
      <w:r w:rsidRPr="002C13BD">
        <w:t>Figure</w:t>
      </w:r>
      <w:r>
        <w:t>s</w:t>
      </w:r>
      <w:r w:rsidRPr="002C13BD">
        <w:t xml:space="preserve"> </w:t>
      </w:r>
      <w:r>
        <w:t>content is shown in table format only.</w:t>
      </w:r>
    </w:p>
    <w:p w14:paraId="295C14C8" w14:textId="77777777" w:rsidR="00BC7C75" w:rsidRDefault="00BC7C75"/>
    <w:p w14:paraId="2932FC1B" w14:textId="77777777" w:rsidR="002C13BD" w:rsidRDefault="002C13BD">
      <w:pPr>
        <w:sectPr w:rsidR="002C13BD">
          <w:headerReference w:type="default" r:id="rId9"/>
          <w:footerReference w:type="default" r:id="rId10"/>
          <w:pgSz w:w="8640" w:h="12960"/>
          <w:pgMar w:top="1037" w:right="1037" w:bottom="1037" w:left="1037" w:header="720" w:footer="720" w:gutter="0"/>
          <w:cols w:space="720"/>
          <w:docGrid w:linePitch="360"/>
        </w:sectPr>
      </w:pPr>
    </w:p>
    <w:p w14:paraId="23FE71CD" w14:textId="77777777" w:rsidR="00BC7C75" w:rsidRDefault="00000000">
      <w:pPr>
        <w:spacing w:after="120"/>
        <w:jc w:val="center"/>
      </w:pPr>
      <w:r>
        <w:rPr>
          <w:rFonts w:ascii="Inter" w:hAnsi="Inter" w:cs="Inter"/>
          <w:b/>
          <w:color w:val="6E6A66"/>
          <w:sz w:val="19"/>
        </w:rPr>
        <w:lastRenderedPageBreak/>
        <w:t>CHAPTER ONE</w:t>
      </w:r>
    </w:p>
    <w:p w14:paraId="73607EB7" w14:textId="77777777" w:rsidR="00BC7C75" w:rsidRDefault="00000000">
      <w:pPr>
        <w:spacing w:after="80"/>
        <w:jc w:val="center"/>
      </w:pPr>
      <w:r>
        <w:rPr>
          <w:rFonts w:cs="EB Garamond"/>
          <w:b/>
          <w:color w:val="374A65"/>
          <w:sz w:val="46"/>
        </w:rPr>
        <w:t>The Missing Layer</w:t>
      </w:r>
    </w:p>
    <w:p w14:paraId="57EA29FD" w14:textId="77777777" w:rsidR="00BC7C75" w:rsidRDefault="00000000">
      <w:pPr>
        <w:spacing w:after="240"/>
        <w:jc w:val="center"/>
      </w:pPr>
      <w:r>
        <w:rPr>
          <w:rFonts w:cs="EB Garamond"/>
          <w:i/>
          <w:color w:val="6E6A66"/>
          <w:sz w:val="25"/>
        </w:rPr>
        <w:t>Why a diagnosis becomes a human event before it becomes a treatment pathway.</w:t>
      </w:r>
    </w:p>
    <w:p w14:paraId="4D59C453" w14:textId="77777777" w:rsidR="00BC7C75" w:rsidRDefault="00BC7C75">
      <w:pPr>
        <w:pBdr>
          <w:bottom w:val="single" w:sz="8" w:space="2" w:color="D6D1CB"/>
        </w:pBdr>
        <w:spacing w:after="280"/>
        <w:jc w:val="center"/>
      </w:pPr>
    </w:p>
    <w:p w14:paraId="07CD6FD5" w14:textId="77777777" w:rsidR="00BC7C75" w:rsidRDefault="00000000">
      <w:pPr>
        <w:spacing w:after="80" w:line="283" w:lineRule="auto"/>
      </w:pPr>
      <w:r>
        <w:rPr>
          <w:rFonts w:cs="EB Garamond"/>
          <w:sz w:val="21"/>
        </w:rPr>
        <w:t>This opening chapter names the book’s central claim: medically excellent care can still be difficult to receive when the under-recognized human layer of illness is not protected. It clarifies why diagnosis is never only a biological event, but also the beginning of a lived human experience.</w:t>
      </w:r>
    </w:p>
    <w:p w14:paraId="6F480363" w14:textId="77777777" w:rsidR="00BC7C75" w:rsidRDefault="00000000">
      <w:pPr>
        <w:spacing w:after="80" w:line="283" w:lineRule="auto"/>
      </w:pPr>
      <w:r>
        <w:rPr>
          <w:rFonts w:cs="EB Garamond"/>
          <w:i/>
          <w:sz w:val="21"/>
        </w:rPr>
        <w:t>Chapter role: evidence-backed framing and strategic synthesis.</w:t>
      </w:r>
    </w:p>
    <w:p w14:paraId="38B6D1F8" w14:textId="77777777" w:rsidR="00BC7C75" w:rsidRDefault="00000000">
      <w:pPr>
        <w:shd w:val="clear" w:color="auto" w:fill="F6F4F0"/>
        <w:spacing w:before="160" w:after="40"/>
        <w:ind w:left="144" w:right="144"/>
      </w:pPr>
      <w:r>
        <w:rPr>
          <w:rFonts w:ascii="Inter" w:hAnsi="Inter" w:cs="Inter"/>
          <w:b/>
          <w:color w:val="374A65"/>
        </w:rPr>
        <w:t>In this chapter</w:t>
      </w:r>
    </w:p>
    <w:p w14:paraId="58A1EB3D" w14:textId="77777777" w:rsidR="00BC7C75" w:rsidRDefault="00000000">
      <w:pPr>
        <w:spacing w:after="0" w:line="274" w:lineRule="auto"/>
        <w:ind w:left="259"/>
      </w:pPr>
      <w:r>
        <w:rPr>
          <w:rFonts w:ascii="Inter" w:hAnsi="Inter" w:cs="Inter"/>
          <w:sz w:val="20"/>
        </w:rPr>
        <w:t>•  understand why diagnosis is never only a biological event</w:t>
      </w:r>
    </w:p>
    <w:p w14:paraId="56CA5C53" w14:textId="77777777" w:rsidR="00BC7C75" w:rsidRDefault="00000000">
      <w:pPr>
        <w:spacing w:after="0" w:line="274" w:lineRule="auto"/>
        <w:ind w:left="259"/>
      </w:pPr>
      <w:r>
        <w:rPr>
          <w:rFonts w:ascii="Inter" w:hAnsi="Inter" w:cs="Inter"/>
          <w:sz w:val="20"/>
        </w:rPr>
        <w:t>•  recognize how fear, overload, and identity disruption begin early</w:t>
      </w:r>
    </w:p>
    <w:p w14:paraId="2C44BBD6" w14:textId="77777777" w:rsidR="00BC7C75" w:rsidRDefault="00000000">
      <w:pPr>
        <w:spacing w:after="0" w:line="274" w:lineRule="auto"/>
        <w:ind w:left="259"/>
      </w:pPr>
      <w:r>
        <w:rPr>
          <w:rFonts w:ascii="Inter" w:hAnsi="Inter" w:cs="Inter"/>
          <w:sz w:val="20"/>
        </w:rPr>
        <w:t>•  distinguish disease management from lived healing</w:t>
      </w:r>
    </w:p>
    <w:p w14:paraId="63E6D8DB" w14:textId="77777777" w:rsidR="00BC7C75" w:rsidRDefault="00000000">
      <w:pPr>
        <w:spacing w:after="0" w:line="274" w:lineRule="auto"/>
        <w:ind w:left="259"/>
      </w:pPr>
      <w:r>
        <w:rPr>
          <w:rFonts w:ascii="Inter" w:hAnsi="Inter" w:cs="Inter"/>
          <w:sz w:val="20"/>
        </w:rPr>
        <w:t>•  see why neuroemotional care belongs inside serious medicine</w:t>
      </w:r>
    </w:p>
    <w:p w14:paraId="2A1A3AC7" w14:textId="77777777" w:rsidR="00BC7C75" w:rsidRDefault="00000000">
      <w:pPr>
        <w:pBdr>
          <w:bottom w:val="single" w:sz="6" w:space="2" w:color="D6D1CB"/>
        </w:pBdr>
        <w:spacing w:before="200" w:after="80"/>
      </w:pPr>
      <w:r>
        <w:rPr>
          <w:rFonts w:ascii="Inter" w:hAnsi="Inter" w:cs="Inter"/>
          <w:b/>
          <w:color w:val="374A65"/>
        </w:rPr>
        <w:t>Chapter overview</w:t>
      </w:r>
    </w:p>
    <w:p w14:paraId="4B4DA960" w14:textId="77777777" w:rsidR="00BC7C75" w:rsidRDefault="00000000">
      <w:pPr>
        <w:spacing w:after="80" w:line="283" w:lineRule="auto"/>
      </w:pPr>
      <w:r>
        <w:rPr>
          <w:rFonts w:cs="EB Garamond"/>
          <w:sz w:val="21"/>
        </w:rPr>
        <w:t>Chapter 1 establishes the book’s core wedge. It shows why the argument that follows is not an alternative to medical rigor, but a more complete account of what makes medical care receivable, understandable, and livable in real life.</w:t>
      </w:r>
    </w:p>
    <w:p w14:paraId="7D67B3D8" w14:textId="77777777" w:rsidR="00BC7C75" w:rsidRDefault="00000000">
      <w:pPr>
        <w:spacing w:after="60" w:line="278" w:lineRule="auto"/>
      </w:pPr>
      <w:r>
        <w:rPr>
          <w:rFonts w:cs="EB Garamond"/>
          <w:sz w:val="21"/>
        </w:rPr>
        <w:t>There is a moment in many medical journeys that people do not forget.</w:t>
      </w:r>
    </w:p>
    <w:p w14:paraId="0E6B5BDC" w14:textId="77777777" w:rsidR="00BC7C75" w:rsidRDefault="00000000">
      <w:pPr>
        <w:spacing w:after="60" w:line="278" w:lineRule="auto"/>
        <w:ind w:firstLine="317"/>
      </w:pPr>
      <w:r>
        <w:rPr>
          <w:rFonts w:cs="EB Garamond"/>
          <w:sz w:val="21"/>
        </w:rPr>
        <w:t>It may happen in an office, a hospital room, a hallway, a phone call, or a screen. A physician begins to speak. A test has come back. A word is used that instantly changes the meaning of everything that came before it.</w:t>
      </w:r>
    </w:p>
    <w:p w14:paraId="47AFBA19" w14:textId="77777777" w:rsidR="00BC7C75" w:rsidRDefault="00000000">
      <w:pPr>
        <w:spacing w:after="60" w:line="278" w:lineRule="auto"/>
        <w:ind w:firstLine="317"/>
      </w:pPr>
      <w:r>
        <w:rPr>
          <w:rFonts w:cs="EB Garamond"/>
          <w:sz w:val="21"/>
        </w:rPr>
        <w:t>Cancer. Recurrence. Failure. Progressive. Aggressive. Surgery. Risk.</w:t>
      </w:r>
    </w:p>
    <w:p w14:paraId="3B832D3F" w14:textId="77777777" w:rsidR="00BC7C75" w:rsidRDefault="00000000">
      <w:pPr>
        <w:spacing w:after="60" w:line="278" w:lineRule="auto"/>
        <w:ind w:firstLine="317"/>
      </w:pPr>
      <w:r>
        <w:rPr>
          <w:rFonts w:cs="EB Garamond"/>
          <w:sz w:val="21"/>
        </w:rPr>
        <w:t>In that moment, life splits.</w:t>
      </w:r>
    </w:p>
    <w:p w14:paraId="326B8D66" w14:textId="77777777" w:rsidR="00BC7C75" w:rsidRDefault="00000000">
      <w:pPr>
        <w:spacing w:after="60" w:line="278" w:lineRule="auto"/>
        <w:ind w:firstLine="317"/>
      </w:pPr>
      <w:r>
        <w:rPr>
          <w:rFonts w:cs="EB Garamond"/>
          <w:sz w:val="21"/>
        </w:rPr>
        <w:t>The world before the sentence and the world after it are no longer the same.</w:t>
      </w:r>
    </w:p>
    <w:p w14:paraId="631C4EC8" w14:textId="77777777" w:rsidR="00BC7C75" w:rsidRDefault="00000000">
      <w:pPr>
        <w:spacing w:after="60" w:line="278" w:lineRule="auto"/>
        <w:ind w:firstLine="317"/>
      </w:pPr>
      <w:r>
        <w:rPr>
          <w:rFonts w:cs="EB Garamond"/>
          <w:sz w:val="21"/>
        </w:rPr>
        <w:t xml:space="preserve">Sometimes the room becomes unnaturally sharp. A clock grows loud. A face across the desk becomes difficult to read. A person nods as though they </w:t>
      </w:r>
      <w:r>
        <w:rPr>
          <w:rFonts w:cs="EB Garamond"/>
          <w:sz w:val="21"/>
        </w:rPr>
        <w:lastRenderedPageBreak/>
        <w:t>understand, while already losing the thread of what is being said. They may remember one phrase and forget the next five. They may become intensely practical, taking notes, asking questions, reaching for structure. Or they may feel themselves falling inward, as if the mind can no longer hold what the body has just heard.</w:t>
      </w:r>
    </w:p>
    <w:p w14:paraId="5007287F" w14:textId="77777777" w:rsidR="00BC7C75" w:rsidRDefault="00000000">
      <w:pPr>
        <w:spacing w:after="60" w:line="278" w:lineRule="auto"/>
        <w:ind w:firstLine="317"/>
      </w:pPr>
      <w:r>
        <w:rPr>
          <w:rFonts w:cs="EB Garamond"/>
          <w:sz w:val="21"/>
        </w:rPr>
        <w:t>From the outside, the scene can look straightforward. A diagnosis has been delivered. Information has been shared. A treatment path is beginning to take shape.</w:t>
      </w:r>
    </w:p>
    <w:p w14:paraId="3DA961CF" w14:textId="77777777" w:rsidR="00BC7C75" w:rsidRDefault="00000000">
      <w:pPr>
        <w:spacing w:after="60" w:line="278" w:lineRule="auto"/>
        <w:ind w:firstLine="317"/>
      </w:pPr>
      <w:r>
        <w:rPr>
          <w:rFonts w:cs="EB Garamond"/>
          <w:sz w:val="21"/>
        </w:rPr>
        <w:t>But from the inside, something much larger has begun.</w:t>
      </w:r>
    </w:p>
    <w:p w14:paraId="261A1B97" w14:textId="77777777" w:rsidR="00BC7C75" w:rsidRDefault="00000000">
      <w:pPr>
        <w:spacing w:after="60" w:line="278" w:lineRule="auto"/>
        <w:ind w:firstLine="317"/>
      </w:pPr>
      <w:r>
        <w:rPr>
          <w:rFonts w:cs="EB Garamond"/>
          <w:sz w:val="21"/>
        </w:rPr>
        <w:t>A person has entered a new reality.</w:t>
      </w:r>
    </w:p>
    <w:p w14:paraId="52A13E14" w14:textId="77777777" w:rsidR="00BC7C75" w:rsidRDefault="00000000">
      <w:pPr>
        <w:spacing w:after="60" w:line="278" w:lineRule="auto"/>
        <w:ind w:firstLine="317"/>
      </w:pPr>
      <w:r>
        <w:rPr>
          <w:rFonts w:cs="EB Garamond"/>
          <w:sz w:val="21"/>
        </w:rPr>
        <w:t>And that reality is never only medical.</w:t>
      </w:r>
    </w:p>
    <w:p w14:paraId="0ED77762" w14:textId="77777777" w:rsidR="00BC7C75" w:rsidRDefault="00000000">
      <w:pPr>
        <w:spacing w:after="60" w:line="278" w:lineRule="auto"/>
        <w:ind w:firstLine="317"/>
      </w:pPr>
      <w:r>
        <w:rPr>
          <w:rFonts w:cs="EB Garamond"/>
          <w:sz w:val="21"/>
        </w:rPr>
        <w:t>It is the collapse of the ordinary. It is the sudden instability of time. It is the body becoming uncertain. It is the future no longer feeling like a future, but like a field of unanswered questions. It is the mind trying to absorb words while fear has already changed the conditions under which those words can be understood.</w:t>
      </w:r>
    </w:p>
    <w:p w14:paraId="7B0BB693" w14:textId="77777777" w:rsidR="00BC7C75" w:rsidRDefault="00000000">
      <w:pPr>
        <w:spacing w:after="60" w:line="278" w:lineRule="auto"/>
        <w:ind w:firstLine="317"/>
      </w:pPr>
      <w:r>
        <w:rPr>
          <w:rFonts w:cs="EB Garamond"/>
          <w:sz w:val="21"/>
        </w:rPr>
        <w:t>This is one of the central truths of this book: illness is lived in a human life before it is managed in a medical system.</w:t>
      </w:r>
    </w:p>
    <w:p w14:paraId="0B682CA7" w14:textId="77777777" w:rsidR="00BC7C75" w:rsidRDefault="00000000">
      <w:pPr>
        <w:spacing w:after="60" w:line="278" w:lineRule="auto"/>
        <w:ind w:firstLine="317"/>
      </w:pPr>
      <w:r>
        <w:rPr>
          <w:rFonts w:cs="EB Garamond"/>
          <w:sz w:val="21"/>
        </w:rPr>
        <w:t>Most patients know this immediately. Most families know it too. Many clinicians know it in practice, even when the system around them has no easy language for it. Modern cancer communication research already acknowledges that good care is not only the transfer of medical facts; it also involves relationship, emotion, uncertainty, decision-making, and self-management.</w:t>
      </w:r>
      <w:r>
        <w:rPr>
          <w:rFonts w:cs="EB Garamond"/>
          <w:sz w:val="16"/>
          <w:vertAlign w:val="superscript"/>
        </w:rPr>
        <w:t>1</w:t>
      </w:r>
      <w:r>
        <w:rPr>
          <w:rFonts w:cs="EB Garamond"/>
          <w:sz w:val="21"/>
        </w:rPr>
        <w:t xml:space="preserve"> It further shows that communication quality is associated with patient satisfaction, quality of life, anxiety, symptom control, adherence, understanding, and the ability to participate more actively in care.</w:t>
      </w:r>
      <w:r>
        <w:rPr>
          <w:rFonts w:cs="EB Garamond"/>
          <w:sz w:val="16"/>
          <w:vertAlign w:val="superscript"/>
        </w:rPr>
        <w:t>2,3,4,5</w:t>
      </w:r>
    </w:p>
    <w:p w14:paraId="3685B0E6" w14:textId="77777777" w:rsidR="00BC7C75" w:rsidRDefault="00000000">
      <w:pPr>
        <w:spacing w:after="60" w:line="278" w:lineRule="auto"/>
        <w:ind w:firstLine="317"/>
      </w:pPr>
      <w:r>
        <w:rPr>
          <w:rFonts w:cs="EB Garamond"/>
          <w:sz w:val="21"/>
        </w:rPr>
        <w:t>And yet modern care still often behaves as though the essential event is the biological one while everything else belongs to a softer, secondary layer. The disease is treated as central. The lived experience is treated as accompanying context.</w:t>
      </w:r>
    </w:p>
    <w:p w14:paraId="41E0442B" w14:textId="77777777" w:rsidR="00BC7C75" w:rsidRDefault="00000000">
      <w:pPr>
        <w:spacing w:after="60" w:line="278" w:lineRule="auto"/>
        <w:ind w:firstLine="317"/>
      </w:pPr>
      <w:r>
        <w:rPr>
          <w:rFonts w:cs="EB Garamond"/>
          <w:sz w:val="21"/>
        </w:rPr>
        <w:t>That separation is one of the blind spots this chapter wants to challenge.</w:t>
      </w:r>
    </w:p>
    <w:p w14:paraId="53A3EC94" w14:textId="77777777" w:rsidR="00BC7C75" w:rsidRDefault="00000000">
      <w:pPr>
        <w:spacing w:after="60" w:line="278" w:lineRule="auto"/>
        <w:ind w:firstLine="317"/>
      </w:pPr>
      <w:r>
        <w:rPr>
          <w:rFonts w:cs="EB Garamond"/>
          <w:sz w:val="21"/>
        </w:rPr>
        <w:lastRenderedPageBreak/>
        <w:t>Because what happens inside a person when illness enters a life does not merely sit beside treatment. It shapes how treatment is heard, received, trusted, remembered, tolerated, and acted upon.</w:t>
      </w:r>
    </w:p>
    <w:p w14:paraId="52B7C421" w14:textId="77777777" w:rsidR="00BC7C75" w:rsidRDefault="00000000">
      <w:pPr>
        <w:spacing w:after="60" w:line="278" w:lineRule="auto"/>
        <w:ind w:firstLine="317"/>
      </w:pPr>
      <w:r>
        <w:rPr>
          <w:rFonts w:cs="EB Garamond"/>
          <w:sz w:val="21"/>
        </w:rPr>
        <w:t>Under threat, human processing changes. Attention narrows toward what feels most dangerous. Working memory becomes less reliable. Language may still be heard, but not fully retained. Choice may still be offered, but not yet metabolized. In this state, the problem is not intelligence or willingness. It is that the conditions for receiving complex care have changed.</w:t>
      </w:r>
    </w:p>
    <w:p w14:paraId="6EEC0213" w14:textId="77777777" w:rsidR="00BC7C75" w:rsidRDefault="00000000">
      <w:pPr>
        <w:spacing w:after="60" w:line="278" w:lineRule="auto"/>
        <w:ind w:firstLine="317"/>
      </w:pPr>
      <w:r>
        <w:rPr>
          <w:rFonts w:cs="EB Garamond"/>
          <w:sz w:val="21"/>
        </w:rPr>
        <w:t>If a patient is terrified, the consultation changes.</w:t>
      </w:r>
    </w:p>
    <w:p w14:paraId="6F1875CE" w14:textId="77777777" w:rsidR="00BC7C75" w:rsidRDefault="00000000">
      <w:pPr>
        <w:spacing w:after="60" w:line="278" w:lineRule="auto"/>
        <w:ind w:firstLine="317"/>
      </w:pPr>
      <w:r>
        <w:rPr>
          <w:rFonts w:cs="EB Garamond"/>
          <w:sz w:val="21"/>
        </w:rPr>
        <w:t>If a caregiver is overloaded, the household changes.</w:t>
      </w:r>
    </w:p>
    <w:p w14:paraId="186C570D" w14:textId="77777777" w:rsidR="00BC7C75" w:rsidRDefault="00000000">
      <w:pPr>
        <w:spacing w:after="60" w:line="278" w:lineRule="auto"/>
        <w:ind w:firstLine="317"/>
      </w:pPr>
      <w:r>
        <w:rPr>
          <w:rFonts w:cs="EB Garamond"/>
          <w:sz w:val="21"/>
        </w:rPr>
        <w:t>If trust is fragile, the care experience changes.</w:t>
      </w:r>
    </w:p>
    <w:p w14:paraId="0F5440E7" w14:textId="77777777" w:rsidR="00BC7C75" w:rsidRDefault="00000000">
      <w:pPr>
        <w:spacing w:after="60" w:line="278" w:lineRule="auto"/>
        <w:ind w:firstLine="317"/>
      </w:pPr>
      <w:r>
        <w:rPr>
          <w:rFonts w:cs="EB Garamond"/>
          <w:sz w:val="21"/>
        </w:rPr>
        <w:t>If shame enters the story, help-seeking changes.</w:t>
      </w:r>
    </w:p>
    <w:p w14:paraId="2E4A93B8" w14:textId="77777777" w:rsidR="00BC7C75" w:rsidRDefault="00000000">
      <w:pPr>
        <w:spacing w:after="60" w:line="278" w:lineRule="auto"/>
        <w:ind w:firstLine="317"/>
      </w:pPr>
      <w:r>
        <w:rPr>
          <w:rFonts w:cs="EB Garamond"/>
          <w:sz w:val="21"/>
        </w:rPr>
        <w:t>If the person no longer feels psychologically safe, participation changes.</w:t>
      </w:r>
    </w:p>
    <w:p w14:paraId="7E11BD5A" w14:textId="77777777" w:rsidR="00BC7C75" w:rsidRDefault="00000000">
      <w:pPr>
        <w:spacing w:after="60" w:line="278" w:lineRule="auto"/>
        <w:ind w:firstLine="317"/>
      </w:pPr>
      <w:r>
        <w:rPr>
          <w:rFonts w:cs="EB Garamond"/>
          <w:sz w:val="21"/>
        </w:rPr>
        <w:t>What appears in clinical language as delay, passivity, indecision, poor adherence, withdrawal, or “difficult behavior” may sometimes be something far more human and far more understandable: a nervous system under threat, a mind flooded by uncertainty, and a self trying to reorganize around a reality it never expected to face.</w:t>
      </w:r>
    </w:p>
    <w:p w14:paraId="099A18CA" w14:textId="77777777" w:rsidR="00BC7C75" w:rsidRDefault="00000000">
      <w:pPr>
        <w:spacing w:after="60" w:line="278" w:lineRule="auto"/>
        <w:ind w:firstLine="317"/>
      </w:pPr>
      <w:r>
        <w:rPr>
          <w:rFonts w:cs="EB Garamond"/>
          <w:sz w:val="21"/>
        </w:rPr>
        <w:t>When this layer is unseen, systems begin misreading human reality. Fear appears as hesitation. Overload appears as poor follow-through. Shame appears as silence. Mistrust appears as resistance. A chart may document refusal, delay, or nonadherence while missing the more important fact: the person may never have regained enough safety, comprehension, or agency to participate well in the first place.</w:t>
      </w:r>
    </w:p>
    <w:p w14:paraId="77B5B0DB" w14:textId="77777777" w:rsidR="00BC7C75" w:rsidRDefault="00000000">
      <w:pPr>
        <w:spacing w:after="60" w:line="278" w:lineRule="auto"/>
        <w:ind w:firstLine="317"/>
      </w:pPr>
      <w:r>
        <w:rPr>
          <w:rFonts w:cs="EB Garamond"/>
          <w:sz w:val="21"/>
        </w:rPr>
        <w:t>That is why the language we use for healing matters.</w:t>
      </w:r>
    </w:p>
    <w:p w14:paraId="104EB999" w14:textId="77777777" w:rsidR="00BC7C75" w:rsidRDefault="00000000">
      <w:pPr>
        <w:spacing w:after="60" w:line="278" w:lineRule="auto"/>
        <w:ind w:firstLine="317"/>
      </w:pPr>
      <w:r>
        <w:rPr>
          <w:rFonts w:cs="EB Garamond"/>
          <w:sz w:val="21"/>
        </w:rPr>
        <w:t>This is not simply a plea for warmer bedside manner. It is a claim about clinical usability. A person can be treated respectfully and still leave cognitively flooded. A treatment plan can be evidence-based and still fail to become actionable inside a frightened household. Neuroemotional care matters because medicine is not only prescribed; it must also be received, processed, trusted, and lived.</w:t>
      </w:r>
    </w:p>
    <w:p w14:paraId="34398FE6" w14:textId="71B3186F" w:rsidR="00BC7C75" w:rsidRDefault="00000000" w:rsidP="002C13BD">
      <w:pPr>
        <w:spacing w:after="60" w:line="278" w:lineRule="auto"/>
        <w:ind w:firstLine="317"/>
      </w:pPr>
      <w:r>
        <w:rPr>
          <w:rFonts w:cs="EB Garamond"/>
          <w:sz w:val="21"/>
        </w:rPr>
        <w:lastRenderedPageBreak/>
        <w:t>When the language is too narrow, the vision becomes too narrow. And when the vision becomes too narrow, care can remain technically correct while humanly incomplete.</w:t>
      </w:r>
      <w:r w:rsidR="002C13BD">
        <w:rPr>
          <w:rFonts w:cs="EB Garamond"/>
          <w:sz w:val="21"/>
        </w:rPr>
        <w:t xml:space="preserve"> </w:t>
      </w:r>
      <w:r w:rsidR="002C13BD" w:rsidRPr="002C13BD">
        <w:rPr>
          <w:rFonts w:cs="EB Garamond"/>
          <w:sz w:val="21"/>
        </w:rPr>
        <w:t>Figure 1.1 shows why medically accurate care and humanly receivable care are related but not identical achievements.</w:t>
      </w:r>
    </w:p>
    <w:p w14:paraId="2E1680D9" w14:textId="77777777" w:rsidR="002C13BD" w:rsidRDefault="002C13BD" w:rsidP="002C13BD">
      <w:pPr>
        <w:spacing w:after="60" w:line="278" w:lineRule="auto"/>
        <w:ind w:firstLine="317"/>
      </w:pPr>
    </w:p>
    <w:tbl>
      <w:tblPr>
        <w:tblStyle w:val="TableGrid"/>
        <w:tblW w:w="0" w:type="auto"/>
        <w:jc w:val="center"/>
        <w:tblLook w:val="04A0" w:firstRow="1" w:lastRow="0" w:firstColumn="1" w:lastColumn="0" w:noHBand="0" w:noVBand="1"/>
      </w:tblPr>
      <w:tblGrid>
        <w:gridCol w:w="2880"/>
        <w:gridCol w:w="3240"/>
      </w:tblGrid>
      <w:tr w:rsidR="00BC7C75" w14:paraId="2E900DBB" w14:textId="77777777">
        <w:trPr>
          <w:jc w:val="center"/>
        </w:trPr>
        <w:tc>
          <w:tcPr>
            <w:tcW w:w="2880" w:type="dxa"/>
            <w:shd w:val="clear" w:color="auto" w:fill="374A65"/>
            <w:tcMar>
              <w:top w:w="90" w:type="dxa"/>
              <w:left w:w="100" w:type="dxa"/>
              <w:bottom w:w="90" w:type="dxa"/>
              <w:right w:w="100" w:type="dxa"/>
            </w:tcMar>
            <w:vAlign w:val="center"/>
          </w:tcPr>
          <w:p w14:paraId="1F52364F" w14:textId="77777777" w:rsidR="00BC7C75" w:rsidRDefault="00000000">
            <w:pPr>
              <w:spacing w:line="264" w:lineRule="auto"/>
              <w:jc w:val="center"/>
            </w:pPr>
            <w:r>
              <w:rPr>
                <w:rFonts w:ascii="Inter" w:hAnsi="Inter" w:cs="Inter"/>
                <w:b/>
                <w:color w:val="FFFFFF"/>
                <w:sz w:val="18"/>
              </w:rPr>
              <w:t>Disease management</w:t>
            </w:r>
          </w:p>
        </w:tc>
        <w:tc>
          <w:tcPr>
            <w:tcW w:w="3240" w:type="dxa"/>
            <w:shd w:val="clear" w:color="auto" w:fill="374A65"/>
            <w:tcMar>
              <w:top w:w="90" w:type="dxa"/>
              <w:left w:w="100" w:type="dxa"/>
              <w:bottom w:w="90" w:type="dxa"/>
              <w:right w:w="100" w:type="dxa"/>
            </w:tcMar>
            <w:vAlign w:val="center"/>
          </w:tcPr>
          <w:p w14:paraId="2FFA40AE" w14:textId="77777777" w:rsidR="00BC7C75" w:rsidRDefault="00000000">
            <w:pPr>
              <w:spacing w:line="264" w:lineRule="auto"/>
              <w:jc w:val="center"/>
            </w:pPr>
            <w:r>
              <w:rPr>
                <w:rFonts w:ascii="Inter" w:hAnsi="Inter" w:cs="Inter"/>
                <w:b/>
                <w:color w:val="FFFFFF"/>
                <w:sz w:val="18"/>
              </w:rPr>
              <w:t>Lived healing</w:t>
            </w:r>
          </w:p>
        </w:tc>
      </w:tr>
      <w:tr w:rsidR="00BC7C75" w14:paraId="3D4C5019" w14:textId="77777777">
        <w:trPr>
          <w:jc w:val="center"/>
        </w:trPr>
        <w:tc>
          <w:tcPr>
            <w:tcW w:w="2880" w:type="dxa"/>
            <w:tcMar>
              <w:top w:w="90" w:type="dxa"/>
              <w:left w:w="100" w:type="dxa"/>
              <w:bottom w:w="90" w:type="dxa"/>
              <w:right w:w="100" w:type="dxa"/>
            </w:tcMar>
            <w:vAlign w:val="center"/>
          </w:tcPr>
          <w:p w14:paraId="676B9373" w14:textId="77777777" w:rsidR="00BC7C75" w:rsidRDefault="00000000">
            <w:pPr>
              <w:spacing w:line="264" w:lineRule="auto"/>
            </w:pPr>
            <w:r>
              <w:rPr>
                <w:rFonts w:cs="EB Garamond"/>
                <w:sz w:val="19"/>
              </w:rPr>
              <w:t>Diagnosis, staging, biomarkers, treatment sequence</w:t>
            </w:r>
          </w:p>
        </w:tc>
        <w:tc>
          <w:tcPr>
            <w:tcW w:w="3240" w:type="dxa"/>
            <w:tcMar>
              <w:top w:w="90" w:type="dxa"/>
              <w:left w:w="100" w:type="dxa"/>
              <w:bottom w:w="90" w:type="dxa"/>
              <w:right w:w="100" w:type="dxa"/>
            </w:tcMar>
            <w:vAlign w:val="center"/>
          </w:tcPr>
          <w:p w14:paraId="25049EC9" w14:textId="77777777" w:rsidR="00BC7C75" w:rsidRDefault="00000000">
            <w:pPr>
              <w:spacing w:line="264" w:lineRule="auto"/>
            </w:pPr>
            <w:r>
              <w:rPr>
                <w:rFonts w:cs="EB Garamond"/>
                <w:sz w:val="19"/>
              </w:rPr>
              <w:t>Shock, fear, identity disruption, altered time</w:t>
            </w:r>
          </w:p>
        </w:tc>
      </w:tr>
      <w:tr w:rsidR="00BC7C75" w14:paraId="28613DF4" w14:textId="77777777">
        <w:trPr>
          <w:jc w:val="center"/>
        </w:trPr>
        <w:tc>
          <w:tcPr>
            <w:tcW w:w="2880" w:type="dxa"/>
            <w:shd w:val="clear" w:color="auto" w:fill="F8F6F2"/>
            <w:tcMar>
              <w:top w:w="90" w:type="dxa"/>
              <w:left w:w="100" w:type="dxa"/>
              <w:bottom w:w="90" w:type="dxa"/>
              <w:right w:w="100" w:type="dxa"/>
            </w:tcMar>
            <w:vAlign w:val="center"/>
          </w:tcPr>
          <w:p w14:paraId="33A9A912" w14:textId="77777777" w:rsidR="00BC7C75" w:rsidRDefault="00000000">
            <w:pPr>
              <w:spacing w:line="264" w:lineRule="auto"/>
            </w:pPr>
            <w:r>
              <w:rPr>
                <w:rFonts w:cs="EB Garamond"/>
                <w:sz w:val="19"/>
              </w:rPr>
              <w:t>Clinical pathway, risks, procedures</w:t>
            </w:r>
          </w:p>
        </w:tc>
        <w:tc>
          <w:tcPr>
            <w:tcW w:w="3240" w:type="dxa"/>
            <w:shd w:val="clear" w:color="auto" w:fill="F8F6F2"/>
            <w:tcMar>
              <w:top w:w="90" w:type="dxa"/>
              <w:left w:w="100" w:type="dxa"/>
              <w:bottom w:w="90" w:type="dxa"/>
              <w:right w:w="100" w:type="dxa"/>
            </w:tcMar>
            <w:vAlign w:val="center"/>
          </w:tcPr>
          <w:p w14:paraId="0EC7F727" w14:textId="77777777" w:rsidR="00BC7C75" w:rsidRDefault="00000000">
            <w:pPr>
              <w:spacing w:line="264" w:lineRule="auto"/>
            </w:pPr>
            <w:r>
              <w:rPr>
                <w:rFonts w:cs="EB Garamond"/>
                <w:sz w:val="19"/>
              </w:rPr>
              <w:t>Need for safety, trust, explanation, memory support</w:t>
            </w:r>
          </w:p>
        </w:tc>
      </w:tr>
      <w:tr w:rsidR="00BC7C75" w14:paraId="16AF2D4E" w14:textId="77777777">
        <w:trPr>
          <w:jc w:val="center"/>
        </w:trPr>
        <w:tc>
          <w:tcPr>
            <w:tcW w:w="2880" w:type="dxa"/>
            <w:tcMar>
              <w:top w:w="90" w:type="dxa"/>
              <w:left w:w="100" w:type="dxa"/>
              <w:bottom w:w="90" w:type="dxa"/>
              <w:right w:w="100" w:type="dxa"/>
            </w:tcMar>
            <w:vAlign w:val="center"/>
          </w:tcPr>
          <w:p w14:paraId="3592889E" w14:textId="77777777" w:rsidR="00BC7C75" w:rsidRDefault="00000000">
            <w:pPr>
              <w:spacing w:line="264" w:lineRule="auto"/>
            </w:pPr>
            <w:r>
              <w:rPr>
                <w:rFonts w:cs="EB Garamond"/>
                <w:sz w:val="19"/>
              </w:rPr>
              <w:t>Protocol success measured medically</w:t>
            </w:r>
          </w:p>
        </w:tc>
        <w:tc>
          <w:tcPr>
            <w:tcW w:w="3240" w:type="dxa"/>
            <w:tcMar>
              <w:top w:w="90" w:type="dxa"/>
              <w:left w:w="100" w:type="dxa"/>
              <w:bottom w:w="90" w:type="dxa"/>
              <w:right w:w="100" w:type="dxa"/>
            </w:tcMar>
            <w:vAlign w:val="center"/>
          </w:tcPr>
          <w:p w14:paraId="518FDA1B" w14:textId="77777777" w:rsidR="00BC7C75" w:rsidRDefault="00000000">
            <w:pPr>
              <w:spacing w:line="264" w:lineRule="auto"/>
            </w:pPr>
            <w:r>
              <w:rPr>
                <w:rFonts w:cs="EB Garamond"/>
                <w:sz w:val="19"/>
              </w:rPr>
              <w:t>Healing lived through meaning, participation, relationships</w:t>
            </w:r>
          </w:p>
        </w:tc>
      </w:tr>
    </w:tbl>
    <w:p w14:paraId="4A1B369C" w14:textId="7BDCC3B8" w:rsidR="00BC7C75" w:rsidRDefault="00000000" w:rsidP="002C13BD">
      <w:pPr>
        <w:spacing w:before="120" w:after="80" w:line="259" w:lineRule="auto"/>
        <w:jc w:val="center"/>
        <w:rPr>
          <w:rFonts w:ascii="Inter" w:hAnsi="Inter" w:cs="Inter"/>
          <w:color w:val="6E6A66"/>
          <w:sz w:val="17"/>
        </w:rPr>
      </w:pPr>
      <w:r>
        <w:rPr>
          <w:rFonts w:ascii="Inter" w:hAnsi="Inter" w:cs="Inter"/>
          <w:color w:val="6E6A66"/>
          <w:sz w:val="17"/>
        </w:rPr>
        <w:t>Figure 1.1. Disease management and lived healing are not the same event: the diagnosis may be medically clear while the human experience remains flooded, fragmented, and difficult to receive.</w:t>
      </w:r>
      <w:r w:rsidR="002C13BD">
        <w:rPr>
          <w:rFonts w:ascii="Inter" w:hAnsi="Inter" w:cs="Inter"/>
          <w:color w:val="6E6A66"/>
          <w:sz w:val="17"/>
        </w:rPr>
        <w:t xml:space="preserve"> </w:t>
      </w:r>
    </w:p>
    <w:p w14:paraId="110AEC72" w14:textId="77777777" w:rsidR="00BC7C75" w:rsidRDefault="00000000">
      <w:pPr>
        <w:spacing w:before="240" w:after="80"/>
      </w:pPr>
      <w:r>
        <w:rPr>
          <w:rFonts w:ascii="Inter" w:hAnsi="Inter" w:cs="Inter"/>
          <w:b/>
          <w:color w:val="374A65"/>
          <w:sz w:val="24"/>
        </w:rPr>
        <w:t>1.1   In Real Life: What the Missing Layer Often Looks Like</w:t>
      </w:r>
    </w:p>
    <w:p w14:paraId="6B1D88DC" w14:textId="77777777" w:rsidR="00BC7C75" w:rsidRDefault="00000000">
      <w:pPr>
        <w:spacing w:after="60" w:line="278" w:lineRule="auto"/>
      </w:pPr>
      <w:r>
        <w:rPr>
          <w:rFonts w:cs="EB Garamond"/>
          <w:sz w:val="21"/>
        </w:rPr>
        <w:t>Patient: “I heard the diagnosis, but I stopped processing after that.”</w:t>
      </w:r>
    </w:p>
    <w:p w14:paraId="671849A5" w14:textId="77777777" w:rsidR="00BC7C75" w:rsidRDefault="00000000">
      <w:pPr>
        <w:spacing w:after="60" w:line="278" w:lineRule="auto"/>
      </w:pPr>
      <w:r>
        <w:rPr>
          <w:rFonts w:cs="EB Garamond"/>
          <w:sz w:val="21"/>
        </w:rPr>
        <w:t>Caregiver: “I’m trying to stay steady, but I’m carrying the memory, the logistics, and the fear.”</w:t>
      </w:r>
    </w:p>
    <w:p w14:paraId="29CE242C" w14:textId="77777777" w:rsidR="00BC7C75" w:rsidRDefault="00000000">
      <w:pPr>
        <w:spacing w:after="60" w:line="278" w:lineRule="auto"/>
      </w:pPr>
      <w:r>
        <w:rPr>
          <w:rFonts w:cs="EB Garamond"/>
          <w:sz w:val="21"/>
        </w:rPr>
        <w:t>Clinician: “I explained the plan, but I can tell it did not fully land.”</w:t>
      </w:r>
    </w:p>
    <w:p w14:paraId="644E6EAB" w14:textId="77777777" w:rsidR="00BC7C75" w:rsidRDefault="00000000">
      <w:pPr>
        <w:spacing w:after="60" w:line="278" w:lineRule="auto"/>
      </w:pPr>
      <w:r>
        <w:rPr>
          <w:rFonts w:cs="EB Garamond"/>
          <w:sz w:val="21"/>
        </w:rPr>
        <w:t>What helps next: slow the pace, name the overload, check what was actually heard, reduce today’s task to one or two essential next steps, and restore relationship before adding more information.</w:t>
      </w:r>
    </w:p>
    <w:p w14:paraId="2FF8894A" w14:textId="77777777" w:rsidR="00BC7C75" w:rsidRDefault="00000000">
      <w:pPr>
        <w:spacing w:after="60" w:line="278" w:lineRule="auto"/>
        <w:ind w:firstLine="317"/>
      </w:pPr>
      <w:r>
        <w:rPr>
          <w:rFonts w:cs="EB Garamond"/>
          <w:sz w:val="21"/>
        </w:rPr>
        <w:t>Consider a second scene.</w:t>
      </w:r>
    </w:p>
    <w:p w14:paraId="6CB79653" w14:textId="77777777" w:rsidR="00BC7C75" w:rsidRDefault="00000000">
      <w:pPr>
        <w:spacing w:after="60" w:line="278" w:lineRule="auto"/>
        <w:ind w:firstLine="317"/>
      </w:pPr>
      <w:r>
        <w:rPr>
          <w:rFonts w:cs="EB Garamond"/>
          <w:sz w:val="21"/>
        </w:rPr>
        <w:t>A woman in her early fifties sits in the passenger seat after an appointment, still wearing the paper wristband from the clinic. Her husband starts the car, but neither of them moves to speak. Inside the office she had been composed. She had thanked the doctor, nodded at the treatment plan, and asked whether she would still be able to work. Now, in the quiet of the parking garage, she says the sentence many patients say in one form or another:</w:t>
      </w:r>
    </w:p>
    <w:p w14:paraId="5A0EE211" w14:textId="77777777" w:rsidR="00BC7C75" w:rsidRDefault="00000000">
      <w:pPr>
        <w:spacing w:after="60" w:line="278" w:lineRule="auto"/>
        <w:ind w:firstLine="317"/>
      </w:pPr>
      <w:r>
        <w:rPr>
          <w:rFonts w:cs="EB Garamond"/>
          <w:sz w:val="21"/>
        </w:rPr>
        <w:lastRenderedPageBreak/>
        <w:t>“I know he explained it. I just don’t know what he said after the first two minutes.”</w:t>
      </w:r>
    </w:p>
    <w:p w14:paraId="08038005" w14:textId="77777777" w:rsidR="00BC7C75" w:rsidRDefault="00000000">
      <w:pPr>
        <w:spacing w:after="60" w:line="278" w:lineRule="auto"/>
        <w:ind w:firstLine="317"/>
      </w:pPr>
      <w:r>
        <w:rPr>
          <w:rFonts w:cs="EB Garamond"/>
          <w:sz w:val="21"/>
        </w:rPr>
        <w:t>Her husband answers too quickly: “We’ll figure it out.”</w:t>
      </w:r>
    </w:p>
    <w:p w14:paraId="0952EB21" w14:textId="77777777" w:rsidR="00BC7C75" w:rsidRDefault="00000000">
      <w:pPr>
        <w:spacing w:after="60" w:line="278" w:lineRule="auto"/>
        <w:ind w:firstLine="317"/>
      </w:pPr>
      <w:r>
        <w:rPr>
          <w:rFonts w:cs="EB Garamond"/>
          <w:sz w:val="21"/>
        </w:rPr>
        <w:t>He means comfort. What she hears is that she should already be coping better.</w:t>
      </w:r>
    </w:p>
    <w:p w14:paraId="4D130404" w14:textId="77777777" w:rsidR="00BC7C75" w:rsidRDefault="00000000">
      <w:pPr>
        <w:spacing w:after="60" w:line="278" w:lineRule="auto"/>
        <w:ind w:firstLine="317"/>
      </w:pPr>
      <w:r>
        <w:rPr>
          <w:rFonts w:cs="EB Garamond"/>
          <w:sz w:val="21"/>
        </w:rPr>
        <w:t>A few minutes later she asks the question that has less to do with oncology than with identity:</w:t>
      </w:r>
    </w:p>
    <w:p w14:paraId="6D8DDBAD" w14:textId="77777777" w:rsidR="00BC7C75" w:rsidRDefault="00000000">
      <w:pPr>
        <w:spacing w:after="60" w:line="278" w:lineRule="auto"/>
        <w:ind w:firstLine="317"/>
      </w:pPr>
      <w:r>
        <w:rPr>
          <w:rFonts w:cs="EB Garamond"/>
          <w:sz w:val="21"/>
        </w:rPr>
        <w:t>“Do I have to become a patient now?”</w:t>
      </w:r>
    </w:p>
    <w:p w14:paraId="76316DF6" w14:textId="77777777" w:rsidR="00BC7C75" w:rsidRDefault="00000000">
      <w:pPr>
        <w:spacing w:after="60" w:line="278" w:lineRule="auto"/>
        <w:ind w:firstLine="317"/>
      </w:pPr>
      <w:r>
        <w:rPr>
          <w:rFonts w:cs="EB Garamond"/>
          <w:sz w:val="21"/>
        </w:rPr>
        <w:t>That question rarely appears in the chart. But it lives at the center of many illness experiences.</w:t>
      </w:r>
    </w:p>
    <w:p w14:paraId="615468C8" w14:textId="77777777" w:rsidR="00BC7C75" w:rsidRDefault="00000000">
      <w:pPr>
        <w:spacing w:after="60" w:line="278" w:lineRule="auto"/>
        <w:ind w:firstLine="317"/>
      </w:pPr>
      <w:r>
        <w:rPr>
          <w:rFonts w:cs="EB Garamond"/>
          <w:sz w:val="21"/>
        </w:rPr>
        <w:t>It means: Do I have to become dependent? Do I have to become fragile? Do I have to tell everyone? Do I have to let this change how my children look at me? Do I have to live in appointments now? Do I have to become someone I do not recognize?</w:t>
      </w:r>
    </w:p>
    <w:p w14:paraId="7E44A894" w14:textId="77777777" w:rsidR="00BC7C75" w:rsidRDefault="00000000">
      <w:pPr>
        <w:spacing w:after="60" w:line="278" w:lineRule="auto"/>
        <w:ind w:firstLine="317"/>
      </w:pPr>
      <w:r>
        <w:rPr>
          <w:rFonts w:cs="EB Garamond"/>
          <w:sz w:val="21"/>
        </w:rPr>
        <w:t>Illness is not only a disruption of tissue or organ function. It is often an intrusion into identity, daily life, relationships, roles, habits, and future imagination. Research on chronic disease has described illness intrusiveness across physical, psychological, social, contextual, and spiritual domains, including pain, fatigue, uncertainty, stigma, role disruption, and altered body image.</w:t>
      </w:r>
      <w:r>
        <w:rPr>
          <w:rFonts w:cs="EB Garamond"/>
          <w:sz w:val="16"/>
          <w:vertAlign w:val="superscript"/>
        </w:rPr>
        <w:t>6</w:t>
      </w:r>
      <w:r>
        <w:rPr>
          <w:rFonts w:cs="EB Garamond"/>
          <w:sz w:val="21"/>
        </w:rPr>
        <w:t xml:space="preserve"> Other work has shown that chronic illness adaptation often requires the reconstruction of a meaningful self, because diagnosis can break continuity between the life a person believed they were living and the life they now have to inhabit.</w:t>
      </w:r>
    </w:p>
    <w:p w14:paraId="2B04337F" w14:textId="77777777" w:rsidR="00BC7C75" w:rsidRDefault="00000000">
      <w:pPr>
        <w:spacing w:after="60" w:line="278" w:lineRule="auto"/>
        <w:ind w:firstLine="317"/>
      </w:pPr>
      <w:r>
        <w:rPr>
          <w:rFonts w:cs="EB Garamond"/>
          <w:sz w:val="21"/>
        </w:rPr>
        <w:t>Illness does not only threaten the body. It reorganizes the ordinary roles through which a person knows who they are. The dependable parent becomes the one driven to appointments. The worker who once managed other people’s needs now struggles to manage fatigue. The private person becomes a subject of repeated questioning, examination, and logistical coordination. These changes are not incidental to the illness experience. They are part of the experience itself.</w:t>
      </w:r>
    </w:p>
    <w:p w14:paraId="5B386108" w14:textId="77777777" w:rsidR="00BC7C75" w:rsidRDefault="00000000">
      <w:pPr>
        <w:spacing w:after="60" w:line="278" w:lineRule="auto"/>
        <w:ind w:firstLine="317"/>
      </w:pPr>
      <w:r>
        <w:rPr>
          <w:rFonts w:cs="EB Garamond"/>
          <w:sz w:val="21"/>
        </w:rPr>
        <w:t xml:space="preserve">One of the quiet shocks of illness is that the body stops being background. It becomes foreground. It becomes monitored, interpreted, compared, discussed, and feared. A body that once felt transparent and familiar may begin </w:t>
      </w:r>
      <w:r>
        <w:rPr>
          <w:rFonts w:cs="EB Garamond"/>
          <w:sz w:val="21"/>
        </w:rPr>
        <w:lastRenderedPageBreak/>
        <w:t>to feel unreliable, public, burdensome, or estranged. That shift alters not only comfort but identity.</w:t>
      </w:r>
    </w:p>
    <w:p w14:paraId="1CEF5E34" w14:textId="77777777" w:rsidR="00BC7C75" w:rsidRDefault="00000000">
      <w:pPr>
        <w:spacing w:after="60" w:line="278" w:lineRule="auto"/>
        <w:ind w:firstLine="317"/>
      </w:pPr>
      <w:r>
        <w:rPr>
          <w:rFonts w:cs="EB Garamond"/>
          <w:sz w:val="21"/>
        </w:rPr>
        <w:t>Much of what changes a person is not dramatic enough to enter the chart. It is the accumulation of forms, delays, transport, disrupted routines, altered work capacity, medication management, interrupted sleep, changed intimacy, and the new requirement to organize life around uncertainty. These burdens do not merely accompany illness. They reshape daily selfhood from within.</w:t>
      </w:r>
    </w:p>
    <w:p w14:paraId="1B18684B" w14:textId="0EC83100" w:rsidR="002C13BD" w:rsidRDefault="00000000" w:rsidP="002C13BD">
      <w:pPr>
        <w:spacing w:after="60" w:line="278" w:lineRule="auto"/>
        <w:ind w:firstLine="317"/>
        <w:rPr>
          <w:rFonts w:cs="EB Garamond"/>
          <w:sz w:val="21"/>
        </w:rPr>
      </w:pPr>
      <w:r>
        <w:rPr>
          <w:rFonts w:cs="EB Garamond"/>
          <w:sz w:val="21"/>
        </w:rPr>
        <w:t>This is one reason the sentence “You are not just your diagnosis” so often fails to comfort. Intellectually, people know it is meant to help. But emotionally, many are already discovering that the diagnosis is not staying politely in one corner of life. It is entering marriage, parenthood, work, sexuality, sleep, memory, finances, faith, and the way the future now appears when they try to imagine it.</w:t>
      </w:r>
      <w:r w:rsidR="002C13BD">
        <w:rPr>
          <w:rFonts w:cs="EB Garamond"/>
          <w:sz w:val="21"/>
        </w:rPr>
        <w:t xml:space="preserve"> </w:t>
      </w:r>
      <w:r w:rsidR="002C13BD" w:rsidRPr="002C13BD">
        <w:rPr>
          <w:rFonts w:cs="EB Garamond"/>
          <w:sz w:val="21"/>
        </w:rPr>
        <w:t>Figure 1.2 makes visible the wider human system into which diagnosis arrives.</w:t>
      </w:r>
    </w:p>
    <w:p w14:paraId="2CCB759C" w14:textId="77777777" w:rsidR="002C13BD" w:rsidRPr="002C13BD" w:rsidRDefault="002C13BD" w:rsidP="002C13BD">
      <w:pPr>
        <w:spacing w:after="60" w:line="278" w:lineRule="auto"/>
        <w:ind w:firstLine="317"/>
        <w:rPr>
          <w:rFonts w:cs="EB Garamond"/>
          <w:sz w:val="21"/>
        </w:rPr>
      </w:pPr>
    </w:p>
    <w:tbl>
      <w:tblPr>
        <w:tblStyle w:val="TableGrid"/>
        <w:tblW w:w="0" w:type="auto"/>
        <w:jc w:val="center"/>
        <w:tblLook w:val="04A0" w:firstRow="1" w:lastRow="0" w:firstColumn="1" w:lastColumn="0" w:noHBand="0" w:noVBand="1"/>
      </w:tblPr>
      <w:tblGrid>
        <w:gridCol w:w="2664"/>
        <w:gridCol w:w="3456"/>
      </w:tblGrid>
      <w:tr w:rsidR="002C13BD" w14:paraId="26B41881" w14:textId="77777777" w:rsidTr="00075380">
        <w:trPr>
          <w:jc w:val="center"/>
        </w:trPr>
        <w:tc>
          <w:tcPr>
            <w:tcW w:w="2664" w:type="dxa"/>
            <w:shd w:val="clear" w:color="auto" w:fill="374A65"/>
            <w:tcMar>
              <w:top w:w="90" w:type="dxa"/>
              <w:left w:w="100" w:type="dxa"/>
              <w:bottom w:w="90" w:type="dxa"/>
              <w:right w:w="100" w:type="dxa"/>
            </w:tcMar>
            <w:vAlign w:val="center"/>
          </w:tcPr>
          <w:p w14:paraId="1265BA86" w14:textId="77777777" w:rsidR="002C13BD" w:rsidRDefault="002C13BD" w:rsidP="00075380">
            <w:pPr>
              <w:spacing w:line="264" w:lineRule="auto"/>
              <w:jc w:val="center"/>
            </w:pPr>
            <w:r>
              <w:rPr>
                <w:rFonts w:ascii="Inter" w:hAnsi="Inter" w:cs="Inter"/>
                <w:b/>
                <w:color w:val="FFFFFF"/>
                <w:sz w:val="18"/>
              </w:rPr>
              <w:t>Human system affected by diagnosis</w:t>
            </w:r>
          </w:p>
        </w:tc>
        <w:tc>
          <w:tcPr>
            <w:tcW w:w="3456" w:type="dxa"/>
            <w:shd w:val="clear" w:color="auto" w:fill="374A65"/>
            <w:tcMar>
              <w:top w:w="90" w:type="dxa"/>
              <w:left w:w="100" w:type="dxa"/>
              <w:bottom w:w="90" w:type="dxa"/>
              <w:right w:w="100" w:type="dxa"/>
            </w:tcMar>
            <w:vAlign w:val="center"/>
          </w:tcPr>
          <w:p w14:paraId="63B15FC6" w14:textId="77777777" w:rsidR="002C13BD" w:rsidRDefault="002C13BD" w:rsidP="00075380">
            <w:pPr>
              <w:spacing w:line="264" w:lineRule="auto"/>
              <w:jc w:val="center"/>
            </w:pPr>
            <w:r>
              <w:rPr>
                <w:rFonts w:ascii="Inter" w:hAnsi="Inter" w:cs="Inter"/>
                <w:b/>
                <w:color w:val="FFFFFF"/>
                <w:sz w:val="18"/>
              </w:rPr>
              <w:t>How it changes</w:t>
            </w:r>
          </w:p>
        </w:tc>
      </w:tr>
      <w:tr w:rsidR="002C13BD" w14:paraId="69841A07" w14:textId="77777777" w:rsidTr="00075380">
        <w:trPr>
          <w:jc w:val="center"/>
        </w:trPr>
        <w:tc>
          <w:tcPr>
            <w:tcW w:w="2664" w:type="dxa"/>
            <w:tcMar>
              <w:top w:w="90" w:type="dxa"/>
              <w:left w:w="100" w:type="dxa"/>
              <w:bottom w:w="90" w:type="dxa"/>
              <w:right w:w="100" w:type="dxa"/>
            </w:tcMar>
            <w:vAlign w:val="center"/>
          </w:tcPr>
          <w:p w14:paraId="661CE414" w14:textId="77777777" w:rsidR="002C13BD" w:rsidRDefault="002C13BD" w:rsidP="00075380">
            <w:pPr>
              <w:spacing w:line="264" w:lineRule="auto"/>
            </w:pPr>
            <w:r>
              <w:rPr>
                <w:rFonts w:cs="EB Garamond"/>
                <w:sz w:val="19"/>
              </w:rPr>
              <w:t>Nervous system</w:t>
            </w:r>
          </w:p>
        </w:tc>
        <w:tc>
          <w:tcPr>
            <w:tcW w:w="3456" w:type="dxa"/>
            <w:tcMar>
              <w:top w:w="90" w:type="dxa"/>
              <w:left w:w="100" w:type="dxa"/>
              <w:bottom w:w="90" w:type="dxa"/>
              <w:right w:w="100" w:type="dxa"/>
            </w:tcMar>
            <w:vAlign w:val="center"/>
          </w:tcPr>
          <w:p w14:paraId="7D66BD96" w14:textId="77777777" w:rsidR="002C13BD" w:rsidRDefault="002C13BD" w:rsidP="00075380">
            <w:pPr>
              <w:spacing w:line="264" w:lineRule="auto"/>
            </w:pPr>
            <w:r>
              <w:rPr>
                <w:rFonts w:cs="EB Garamond"/>
                <w:sz w:val="19"/>
              </w:rPr>
              <w:t>Threat response, vigilance, narrowed attention</w:t>
            </w:r>
          </w:p>
        </w:tc>
      </w:tr>
      <w:tr w:rsidR="002C13BD" w14:paraId="3BE693EC" w14:textId="77777777" w:rsidTr="00075380">
        <w:trPr>
          <w:jc w:val="center"/>
        </w:trPr>
        <w:tc>
          <w:tcPr>
            <w:tcW w:w="2664" w:type="dxa"/>
            <w:shd w:val="clear" w:color="auto" w:fill="F8F6F2"/>
            <w:tcMar>
              <w:top w:w="90" w:type="dxa"/>
              <w:left w:w="100" w:type="dxa"/>
              <w:bottom w:w="90" w:type="dxa"/>
              <w:right w:w="100" w:type="dxa"/>
            </w:tcMar>
            <w:vAlign w:val="center"/>
          </w:tcPr>
          <w:p w14:paraId="0BE76606" w14:textId="77777777" w:rsidR="002C13BD" w:rsidRDefault="002C13BD" w:rsidP="00075380">
            <w:pPr>
              <w:spacing w:line="264" w:lineRule="auto"/>
            </w:pPr>
            <w:r>
              <w:rPr>
                <w:rFonts w:cs="EB Garamond"/>
                <w:sz w:val="19"/>
              </w:rPr>
              <w:t>Identity</w:t>
            </w:r>
          </w:p>
        </w:tc>
        <w:tc>
          <w:tcPr>
            <w:tcW w:w="3456" w:type="dxa"/>
            <w:shd w:val="clear" w:color="auto" w:fill="F8F6F2"/>
            <w:tcMar>
              <w:top w:w="90" w:type="dxa"/>
              <w:left w:w="100" w:type="dxa"/>
              <w:bottom w:w="90" w:type="dxa"/>
              <w:right w:w="100" w:type="dxa"/>
            </w:tcMar>
            <w:vAlign w:val="center"/>
          </w:tcPr>
          <w:p w14:paraId="4741A1BC" w14:textId="77777777" w:rsidR="002C13BD" w:rsidRDefault="002C13BD" w:rsidP="00075380">
            <w:pPr>
              <w:spacing w:line="264" w:lineRule="auto"/>
            </w:pPr>
            <w:r>
              <w:rPr>
                <w:rFonts w:cs="EB Garamond"/>
                <w:sz w:val="19"/>
              </w:rPr>
              <w:t>Roles and self-story destabilized</w:t>
            </w:r>
          </w:p>
        </w:tc>
      </w:tr>
      <w:tr w:rsidR="002C13BD" w14:paraId="34C050B4" w14:textId="77777777" w:rsidTr="00075380">
        <w:trPr>
          <w:jc w:val="center"/>
        </w:trPr>
        <w:tc>
          <w:tcPr>
            <w:tcW w:w="2664" w:type="dxa"/>
            <w:tcMar>
              <w:top w:w="90" w:type="dxa"/>
              <w:left w:w="100" w:type="dxa"/>
              <w:bottom w:w="90" w:type="dxa"/>
              <w:right w:w="100" w:type="dxa"/>
            </w:tcMar>
            <w:vAlign w:val="center"/>
          </w:tcPr>
          <w:p w14:paraId="17C58A6C" w14:textId="77777777" w:rsidR="002C13BD" w:rsidRDefault="002C13BD" w:rsidP="00075380">
            <w:pPr>
              <w:spacing w:line="264" w:lineRule="auto"/>
            </w:pPr>
            <w:r>
              <w:rPr>
                <w:rFonts w:cs="EB Garamond"/>
                <w:sz w:val="19"/>
              </w:rPr>
              <w:t>Family and care network</w:t>
            </w:r>
          </w:p>
        </w:tc>
        <w:tc>
          <w:tcPr>
            <w:tcW w:w="3456" w:type="dxa"/>
            <w:tcMar>
              <w:top w:w="90" w:type="dxa"/>
              <w:left w:w="100" w:type="dxa"/>
              <w:bottom w:w="90" w:type="dxa"/>
              <w:right w:w="100" w:type="dxa"/>
            </w:tcMar>
            <w:vAlign w:val="center"/>
          </w:tcPr>
          <w:p w14:paraId="105C01DE" w14:textId="77777777" w:rsidR="002C13BD" w:rsidRDefault="002C13BD" w:rsidP="00075380">
            <w:pPr>
              <w:spacing w:line="264" w:lineRule="auto"/>
            </w:pPr>
            <w:r>
              <w:rPr>
                <w:rFonts w:cs="EB Garamond"/>
                <w:sz w:val="19"/>
              </w:rPr>
              <w:t>Logistics, emotional burden, caregiving load</w:t>
            </w:r>
          </w:p>
        </w:tc>
      </w:tr>
      <w:tr w:rsidR="002C13BD" w14:paraId="07396944" w14:textId="77777777" w:rsidTr="00075380">
        <w:trPr>
          <w:jc w:val="center"/>
        </w:trPr>
        <w:tc>
          <w:tcPr>
            <w:tcW w:w="2664" w:type="dxa"/>
            <w:shd w:val="clear" w:color="auto" w:fill="F8F6F2"/>
            <w:tcMar>
              <w:top w:w="90" w:type="dxa"/>
              <w:left w:w="100" w:type="dxa"/>
              <w:bottom w:w="90" w:type="dxa"/>
              <w:right w:w="100" w:type="dxa"/>
            </w:tcMar>
            <w:vAlign w:val="center"/>
          </w:tcPr>
          <w:p w14:paraId="50E4E5ED" w14:textId="77777777" w:rsidR="002C13BD" w:rsidRDefault="002C13BD" w:rsidP="00075380">
            <w:pPr>
              <w:spacing w:line="264" w:lineRule="auto"/>
            </w:pPr>
            <w:r>
              <w:rPr>
                <w:rFonts w:cs="EB Garamond"/>
                <w:sz w:val="19"/>
              </w:rPr>
              <w:t>Time and future</w:t>
            </w:r>
          </w:p>
        </w:tc>
        <w:tc>
          <w:tcPr>
            <w:tcW w:w="3456" w:type="dxa"/>
            <w:shd w:val="clear" w:color="auto" w:fill="F8F6F2"/>
            <w:tcMar>
              <w:top w:w="90" w:type="dxa"/>
              <w:left w:w="100" w:type="dxa"/>
              <w:bottom w:w="90" w:type="dxa"/>
              <w:right w:w="100" w:type="dxa"/>
            </w:tcMar>
            <w:vAlign w:val="center"/>
          </w:tcPr>
          <w:p w14:paraId="78559B72" w14:textId="77777777" w:rsidR="002C13BD" w:rsidRDefault="002C13BD" w:rsidP="00075380">
            <w:pPr>
              <w:spacing w:line="264" w:lineRule="auto"/>
            </w:pPr>
            <w:r>
              <w:rPr>
                <w:rFonts w:cs="EB Garamond"/>
                <w:sz w:val="19"/>
              </w:rPr>
              <w:t>Present intensifies; future becomes uncertain</w:t>
            </w:r>
          </w:p>
        </w:tc>
      </w:tr>
      <w:tr w:rsidR="002C13BD" w14:paraId="61E37926" w14:textId="77777777" w:rsidTr="00075380">
        <w:trPr>
          <w:jc w:val="center"/>
        </w:trPr>
        <w:tc>
          <w:tcPr>
            <w:tcW w:w="2664" w:type="dxa"/>
            <w:tcMar>
              <w:top w:w="90" w:type="dxa"/>
              <w:left w:w="100" w:type="dxa"/>
              <w:bottom w:w="90" w:type="dxa"/>
              <w:right w:w="100" w:type="dxa"/>
            </w:tcMar>
            <w:vAlign w:val="center"/>
          </w:tcPr>
          <w:p w14:paraId="40880B21" w14:textId="77777777" w:rsidR="002C13BD" w:rsidRDefault="002C13BD" w:rsidP="00075380">
            <w:pPr>
              <w:spacing w:line="264" w:lineRule="auto"/>
            </w:pPr>
            <w:r>
              <w:rPr>
                <w:rFonts w:cs="EB Garamond"/>
                <w:sz w:val="19"/>
              </w:rPr>
              <w:t>Trust and meaning</w:t>
            </w:r>
          </w:p>
        </w:tc>
        <w:tc>
          <w:tcPr>
            <w:tcW w:w="3456" w:type="dxa"/>
            <w:tcMar>
              <w:top w:w="90" w:type="dxa"/>
              <w:left w:w="100" w:type="dxa"/>
              <w:bottom w:w="90" w:type="dxa"/>
              <w:right w:w="100" w:type="dxa"/>
            </w:tcMar>
            <w:vAlign w:val="center"/>
          </w:tcPr>
          <w:p w14:paraId="3E1FB805" w14:textId="77777777" w:rsidR="002C13BD" w:rsidRDefault="002C13BD" w:rsidP="00075380">
            <w:pPr>
              <w:spacing w:line="264" w:lineRule="auto"/>
            </w:pPr>
            <w:r>
              <w:rPr>
                <w:rFonts w:cs="EB Garamond"/>
                <w:sz w:val="19"/>
              </w:rPr>
              <w:t>Past experiences shape how care is interpreted</w:t>
            </w:r>
          </w:p>
        </w:tc>
      </w:tr>
    </w:tbl>
    <w:p w14:paraId="442B2ED9" w14:textId="77777777" w:rsidR="002C13BD" w:rsidRDefault="002C13BD" w:rsidP="002C13BD">
      <w:pPr>
        <w:spacing w:before="120" w:after="80" w:line="259" w:lineRule="auto"/>
        <w:jc w:val="center"/>
      </w:pPr>
      <w:r>
        <w:rPr>
          <w:rFonts w:ascii="Inter" w:hAnsi="Inter" w:cs="Inter"/>
          <w:color w:val="6E6A66"/>
          <w:sz w:val="17"/>
        </w:rPr>
        <w:t>Figure 1.2. A diagnosis enters a human system: body, nervous system, identity, family, time, trust, and future imagination are all affected at once.</w:t>
      </w:r>
    </w:p>
    <w:p w14:paraId="133DE52E" w14:textId="77777777" w:rsidR="002C13BD" w:rsidRDefault="002C13BD">
      <w:pPr>
        <w:spacing w:after="60" w:line="278" w:lineRule="auto"/>
        <w:ind w:firstLine="317"/>
      </w:pPr>
    </w:p>
    <w:p w14:paraId="10BF62FE" w14:textId="77777777" w:rsidR="00BC7C75" w:rsidRDefault="00000000">
      <w:pPr>
        <w:spacing w:after="60" w:line="278" w:lineRule="auto"/>
        <w:ind w:firstLine="317"/>
      </w:pPr>
      <w:r>
        <w:rPr>
          <w:rFonts w:cs="EB Garamond"/>
          <w:sz w:val="21"/>
        </w:rPr>
        <w:t>When healthcare systems are organized around people rather than around diseases alone, they consciously take account of comprehensive needs, preferences, and participation.</w:t>
      </w:r>
      <w:r>
        <w:rPr>
          <w:rFonts w:cs="EB Garamond"/>
          <w:sz w:val="16"/>
          <w:vertAlign w:val="superscript"/>
        </w:rPr>
        <w:t>7</w:t>
      </w:r>
      <w:r>
        <w:rPr>
          <w:rFonts w:cs="EB Garamond"/>
          <w:sz w:val="21"/>
        </w:rPr>
        <w:t xml:space="preserve"> That is not sentimental language. It is a serious systems principle. In the same way, patient engagement is now framed by the </w:t>
      </w:r>
      <w:r>
        <w:rPr>
          <w:rFonts w:cs="EB Garamond"/>
          <w:sz w:val="21"/>
        </w:rPr>
        <w:lastRenderedPageBreak/>
        <w:t>World Health Organization as part of safer, higher-quality, more people-centred care, because patients and families are not passive recipients of treatment but active participants in how care is understood and lived.</w:t>
      </w:r>
      <w:r>
        <w:rPr>
          <w:rFonts w:cs="EB Garamond"/>
          <w:sz w:val="16"/>
          <w:vertAlign w:val="superscript"/>
        </w:rPr>
        <w:t>8</w:t>
      </w:r>
    </w:p>
    <w:p w14:paraId="19456BB0" w14:textId="77777777" w:rsidR="00BC7C75" w:rsidRDefault="00000000">
      <w:pPr>
        <w:spacing w:after="60" w:line="278" w:lineRule="auto"/>
        <w:ind w:firstLine="317"/>
      </w:pPr>
      <w:r>
        <w:rPr>
          <w:rFonts w:cs="EB Garamond"/>
          <w:sz w:val="21"/>
        </w:rPr>
        <w:t>This matters because one of the hidden injuries of illness is that people are often required to perform competence at precisely the moment when competence feels most unstable. They are expected to remember details while frightened, make decisions while disoriented, stay calm for others while privately unraveling, and accept unfamiliar identities while still trying to appear like themselves.</w:t>
      </w:r>
    </w:p>
    <w:p w14:paraId="1741085F" w14:textId="77777777" w:rsidR="00BC7C75" w:rsidRDefault="00000000">
      <w:pPr>
        <w:spacing w:after="60" w:line="278" w:lineRule="auto"/>
        <w:ind w:firstLine="317"/>
      </w:pPr>
      <w:r>
        <w:rPr>
          <w:rFonts w:cs="EB Garamond"/>
          <w:sz w:val="21"/>
        </w:rPr>
        <w:t>Another scene.</w:t>
      </w:r>
    </w:p>
    <w:p w14:paraId="34EAD84A" w14:textId="77777777" w:rsidR="00BC7C75" w:rsidRDefault="00000000">
      <w:pPr>
        <w:spacing w:after="60" w:line="278" w:lineRule="auto"/>
        <w:ind w:firstLine="317"/>
      </w:pPr>
      <w:r>
        <w:rPr>
          <w:rFonts w:cs="EB Garamond"/>
          <w:sz w:val="21"/>
        </w:rPr>
        <w:t>A physician is midway through explaining pathology results when he notices that the patient across from him has not moved for nearly a minute. She is looking directly at him, but something in her expression has gone still. Not absent. Not resistant. Simply no longer available in the same way.</w:t>
      </w:r>
    </w:p>
    <w:p w14:paraId="30785611" w14:textId="77777777" w:rsidR="00BC7C75" w:rsidRDefault="00000000">
      <w:pPr>
        <w:spacing w:after="60" w:line="278" w:lineRule="auto"/>
        <w:ind w:firstLine="317"/>
      </w:pPr>
      <w:r>
        <w:rPr>
          <w:rFonts w:cs="EB Garamond"/>
          <w:sz w:val="21"/>
        </w:rPr>
        <w:t>He pauses and says, “I’m going to stop here for a moment. What have you heard so far?”</w:t>
      </w:r>
    </w:p>
    <w:p w14:paraId="138A9316" w14:textId="77777777" w:rsidR="00BC7C75" w:rsidRDefault="00000000">
      <w:pPr>
        <w:spacing w:after="60" w:line="278" w:lineRule="auto"/>
        <w:ind w:firstLine="317"/>
      </w:pPr>
      <w:r>
        <w:rPr>
          <w:rFonts w:cs="EB Garamond"/>
          <w:sz w:val="21"/>
        </w:rPr>
        <w:t>She shakes her head and starts crying.</w:t>
      </w:r>
    </w:p>
    <w:p w14:paraId="46395C5A" w14:textId="77777777" w:rsidR="00BC7C75" w:rsidRDefault="00000000">
      <w:pPr>
        <w:spacing w:after="60" w:line="278" w:lineRule="auto"/>
        <w:ind w:firstLine="317"/>
      </w:pPr>
      <w:r>
        <w:rPr>
          <w:rFonts w:cs="EB Garamond"/>
          <w:sz w:val="21"/>
        </w:rPr>
        <w:t>Nothing medically dramatic has changed in the room. No new diagnosis has arrived in that exact second. No treatment option has disappeared. Yet the entire encounter is now different, because one thing has been recognized: she is no longer processing the visit at the speed the visit is moving.</w:t>
      </w:r>
    </w:p>
    <w:p w14:paraId="2198CCBA" w14:textId="77777777" w:rsidR="00BC7C75" w:rsidRDefault="00000000">
      <w:pPr>
        <w:spacing w:after="60" w:line="278" w:lineRule="auto"/>
        <w:ind w:firstLine="317"/>
      </w:pPr>
      <w:r>
        <w:rPr>
          <w:rFonts w:cs="EB Garamond"/>
          <w:sz w:val="21"/>
        </w:rPr>
        <w:t>That moment matters.</w:t>
      </w:r>
    </w:p>
    <w:p w14:paraId="7DF2C1D9" w14:textId="77777777" w:rsidR="00BC7C75" w:rsidRDefault="00000000">
      <w:pPr>
        <w:spacing w:after="60" w:line="278" w:lineRule="auto"/>
        <w:ind w:firstLine="317"/>
      </w:pPr>
      <w:r>
        <w:rPr>
          <w:rFonts w:cs="EB Garamond"/>
          <w:sz w:val="21"/>
        </w:rPr>
        <w:t>It is the difference between assuming information was delivered and checking whether it was actually received.</w:t>
      </w:r>
    </w:p>
    <w:p w14:paraId="6503B092" w14:textId="77777777" w:rsidR="00BC7C75" w:rsidRDefault="00000000">
      <w:pPr>
        <w:spacing w:after="60" w:line="278" w:lineRule="auto"/>
        <w:ind w:firstLine="317"/>
      </w:pPr>
      <w:r>
        <w:rPr>
          <w:rFonts w:cs="EB Garamond"/>
          <w:sz w:val="21"/>
        </w:rPr>
        <w:t>It is the difference between a consultation that continues past the patient and a consultation that remains in contact with the patient.</w:t>
      </w:r>
    </w:p>
    <w:p w14:paraId="5999ABED" w14:textId="77777777" w:rsidR="00BC7C75" w:rsidRDefault="00000000">
      <w:pPr>
        <w:spacing w:after="60" w:line="278" w:lineRule="auto"/>
        <w:ind w:firstLine="317"/>
      </w:pPr>
      <w:r>
        <w:rPr>
          <w:rFonts w:cs="EB Garamond"/>
          <w:sz w:val="21"/>
        </w:rPr>
        <w:t>It is the difference between medicine that speaks and medicine that notices.</w:t>
      </w:r>
    </w:p>
    <w:p w14:paraId="77658999" w14:textId="77777777" w:rsidR="00BC7C75" w:rsidRDefault="00000000">
      <w:pPr>
        <w:spacing w:after="60" w:line="278" w:lineRule="auto"/>
        <w:ind w:firstLine="317"/>
      </w:pPr>
      <w:r>
        <w:rPr>
          <w:rFonts w:cs="EB Garamond"/>
          <w:sz w:val="21"/>
        </w:rPr>
        <w:t>Effective communication research repeatedly shows that the quality of communication shapes patient-centred outcomes. A recent rapid review found that verbal and nonverbal communication strategies positively affected satisfaction, quality of care, quality of life, and physical and mental health outcomes.</w:t>
      </w:r>
      <w:r>
        <w:rPr>
          <w:rFonts w:cs="EB Garamond"/>
          <w:sz w:val="16"/>
          <w:vertAlign w:val="superscript"/>
        </w:rPr>
        <w:t>9</w:t>
      </w:r>
      <w:r>
        <w:rPr>
          <w:rFonts w:cs="EB Garamond"/>
          <w:sz w:val="21"/>
        </w:rPr>
        <w:t xml:space="preserve"> Among newly diagnosed patients with cancer, better patient-centred </w:t>
      </w:r>
      <w:r>
        <w:rPr>
          <w:rFonts w:cs="EB Garamond"/>
          <w:sz w:val="21"/>
        </w:rPr>
        <w:lastRenderedPageBreak/>
        <w:t>communication has also been associated with greater trust in healthcare providers and greater satisfaction with care visits.</w:t>
      </w:r>
      <w:r>
        <w:rPr>
          <w:rFonts w:cs="EB Garamond"/>
          <w:sz w:val="16"/>
          <w:vertAlign w:val="superscript"/>
        </w:rPr>
        <w:t>10,11,12</w:t>
      </w:r>
    </w:p>
    <w:p w14:paraId="0D5C9F02" w14:textId="77777777" w:rsidR="00BC7C75" w:rsidRDefault="00000000">
      <w:pPr>
        <w:spacing w:after="60" w:line="278" w:lineRule="auto"/>
        <w:ind w:firstLine="317"/>
      </w:pPr>
      <w:r>
        <w:rPr>
          <w:rFonts w:cs="EB Garamond"/>
          <w:sz w:val="21"/>
        </w:rPr>
        <w:t>Trust belongs here because the missing layer is not only emotional. It is relational.</w:t>
      </w:r>
    </w:p>
    <w:p w14:paraId="354CBCE9" w14:textId="77777777" w:rsidR="00BC7C75" w:rsidRDefault="00000000">
      <w:pPr>
        <w:spacing w:after="60" w:line="278" w:lineRule="auto"/>
        <w:ind w:firstLine="317"/>
      </w:pPr>
      <w:r>
        <w:rPr>
          <w:rFonts w:cs="EB Garamond"/>
          <w:sz w:val="21"/>
        </w:rPr>
        <w:t>People do not receive care in the abstract. They receive it through relationship—sometimes brief, sometimes enduring, sometimes fragile, sometimes restorative. When trust is present, uncertainty may still be painful, but it is not borne in the same way. When trust is absent, even technically sound guidance may land inside suspicion, fear, or disengagement. Recent international data suggest that trust in health professionals significantly influences access patterns, including the likelihood that people delay or forgo care.</w:t>
      </w:r>
      <w:r>
        <w:rPr>
          <w:rFonts w:cs="EB Garamond"/>
          <w:sz w:val="16"/>
          <w:vertAlign w:val="superscript"/>
        </w:rPr>
        <w:t>13</w:t>
      </w:r>
    </w:p>
    <w:p w14:paraId="5BF7FE6D" w14:textId="77777777" w:rsidR="00BC7C75" w:rsidRDefault="00000000">
      <w:pPr>
        <w:spacing w:after="60" w:line="278" w:lineRule="auto"/>
        <w:ind w:firstLine="317"/>
      </w:pPr>
      <w:r>
        <w:rPr>
          <w:rFonts w:cs="EB Garamond"/>
          <w:sz w:val="21"/>
        </w:rPr>
        <w:t>That is why the “missing layer” is not a decorative idea added after the real work of medicine. It is part of what determines whether the real work can be taken in.</w:t>
      </w:r>
    </w:p>
    <w:p w14:paraId="53E875E3" w14:textId="77777777" w:rsidR="00BC7C75" w:rsidRDefault="00000000">
      <w:pPr>
        <w:spacing w:after="60" w:line="278" w:lineRule="auto"/>
        <w:ind w:firstLine="317"/>
      </w:pPr>
      <w:r>
        <w:rPr>
          <w:rFonts w:cs="EB Garamond"/>
          <w:sz w:val="21"/>
        </w:rPr>
        <w:t>There is another reason this layer is often missed: it is difficult to standardize.</w:t>
      </w:r>
    </w:p>
    <w:p w14:paraId="17FF5A96" w14:textId="77777777" w:rsidR="00BC7C75" w:rsidRDefault="00000000">
      <w:pPr>
        <w:spacing w:after="60" w:line="278" w:lineRule="auto"/>
        <w:ind w:firstLine="317"/>
      </w:pPr>
      <w:r>
        <w:rPr>
          <w:rFonts w:cs="EB Garamond"/>
          <w:sz w:val="21"/>
        </w:rPr>
        <w:t>A mutation can be named. A tumor can be staged. A laboratory value can be trended. But the collapse of safety after diagnosis, the exhaustion of maintaining hope for a frightened family, the humiliation of dependence, the narrowing of identity, the private panic that follows a calm consultation—these do not lend themselves to easy measurement. What is harder to measure is often pushed to the edges of what gets treated as central.</w:t>
      </w:r>
    </w:p>
    <w:p w14:paraId="3A42ED28" w14:textId="77777777" w:rsidR="00BC7C75" w:rsidRDefault="00000000">
      <w:pPr>
        <w:spacing w:after="60" w:line="278" w:lineRule="auto"/>
        <w:ind w:firstLine="317"/>
      </w:pPr>
      <w:r>
        <w:rPr>
          <w:rFonts w:cs="EB Garamond"/>
          <w:sz w:val="21"/>
        </w:rPr>
        <w:t>But difficulty of measurement does not make a human reality less real.</w:t>
      </w:r>
    </w:p>
    <w:p w14:paraId="3490E801" w14:textId="77777777" w:rsidR="00BC7C75" w:rsidRDefault="00000000">
      <w:pPr>
        <w:spacing w:after="60" w:line="278" w:lineRule="auto"/>
        <w:ind w:firstLine="317"/>
      </w:pPr>
      <w:r>
        <w:rPr>
          <w:rFonts w:cs="EB Garamond"/>
          <w:sz w:val="21"/>
        </w:rPr>
        <w:t>If anything, it should make us more careful not to lose it.</w:t>
      </w:r>
    </w:p>
    <w:p w14:paraId="36214B5A" w14:textId="77777777" w:rsidR="00BC7C75" w:rsidRDefault="00000000">
      <w:pPr>
        <w:spacing w:after="60" w:line="278" w:lineRule="auto"/>
        <w:ind w:firstLine="317"/>
      </w:pPr>
      <w:r>
        <w:rPr>
          <w:rFonts w:cs="EB Garamond"/>
          <w:sz w:val="21"/>
        </w:rPr>
        <w:t>The same is true of meaning.</w:t>
      </w:r>
    </w:p>
    <w:p w14:paraId="36547F22" w14:textId="77777777" w:rsidR="00BC7C75" w:rsidRDefault="00000000">
      <w:pPr>
        <w:spacing w:after="60" w:line="278" w:lineRule="auto"/>
        <w:ind w:firstLine="317"/>
      </w:pPr>
      <w:r>
        <w:rPr>
          <w:rFonts w:cs="EB Garamond"/>
          <w:sz w:val="21"/>
        </w:rPr>
        <w:t>People do not respond only to illness itself. They respond to what illness means to them. The common-sense model of illness self-regulation has long shown that individuals perceive, interpret, and respond to illness through personal beliefs and representations, and that these interpretations shape coping and outcomes.</w:t>
      </w:r>
      <w:r>
        <w:rPr>
          <w:rFonts w:cs="EB Garamond"/>
          <w:sz w:val="16"/>
          <w:vertAlign w:val="superscript"/>
        </w:rPr>
        <w:t>14</w:t>
      </w:r>
      <w:r>
        <w:rPr>
          <w:rFonts w:cs="EB Garamond"/>
          <w:sz w:val="21"/>
        </w:rPr>
        <w:t xml:space="preserve"> The person who hears “treatment” as possibility does not live the same interior reality as the person who hears “treatment” as proof that life is </w:t>
      </w:r>
      <w:r>
        <w:rPr>
          <w:rFonts w:cs="EB Garamond"/>
          <w:sz w:val="21"/>
        </w:rPr>
        <w:lastRenderedPageBreak/>
        <w:t>now permanently unstable. The person who hears “ask questions” as invitation does not live the same experience as the person who hears it through shame, fear of burdening the doctor, or fear of exposing that they no longer understand.</w:t>
      </w:r>
    </w:p>
    <w:p w14:paraId="629E011C" w14:textId="77777777" w:rsidR="00BC7C75" w:rsidRDefault="00000000">
      <w:pPr>
        <w:spacing w:after="60" w:line="278" w:lineRule="auto"/>
        <w:ind w:firstLine="317"/>
      </w:pPr>
      <w:r>
        <w:rPr>
          <w:rFonts w:cs="EB Garamond"/>
          <w:sz w:val="21"/>
        </w:rPr>
        <w:t>This is not because one person is “good at illness” and another is not.</w:t>
      </w:r>
    </w:p>
    <w:p w14:paraId="629D6D21" w14:textId="77777777" w:rsidR="00BC7C75" w:rsidRDefault="00000000">
      <w:pPr>
        <w:spacing w:after="60" w:line="278" w:lineRule="auto"/>
        <w:ind w:firstLine="317"/>
      </w:pPr>
      <w:r>
        <w:rPr>
          <w:rFonts w:cs="EB Garamond"/>
          <w:sz w:val="21"/>
        </w:rPr>
        <w:t>It is because illness enters different histories, different coping patterns, different family systems, and different structures of meaning.</w:t>
      </w:r>
    </w:p>
    <w:p w14:paraId="4C7082A6" w14:textId="77777777" w:rsidR="00BC7C75" w:rsidRDefault="00000000">
      <w:pPr>
        <w:spacing w:after="60" w:line="278" w:lineRule="auto"/>
        <w:ind w:firstLine="317"/>
      </w:pPr>
      <w:r>
        <w:rPr>
          <w:rFonts w:cs="EB Garamond"/>
          <w:sz w:val="21"/>
        </w:rPr>
        <w:t>By the time a person is diagnosed, illness is already doing more than threatening health. It is threatening continuity. It is asking whether old identities still hold, whether old assumptions still stand, whether the self can survive contact with this new reality in recognizable form.</w:t>
      </w:r>
    </w:p>
    <w:p w14:paraId="1350F738" w14:textId="77777777" w:rsidR="00BC7C75" w:rsidRDefault="00000000">
      <w:pPr>
        <w:spacing w:after="60" w:line="278" w:lineRule="auto"/>
        <w:ind w:firstLine="317"/>
      </w:pPr>
      <w:r>
        <w:rPr>
          <w:rFonts w:cs="EB Garamond"/>
          <w:sz w:val="21"/>
        </w:rPr>
        <w:t>This is also why caregivers belong inside the opening argument of the book.</w:t>
      </w:r>
    </w:p>
    <w:p w14:paraId="2428DBD0" w14:textId="77777777" w:rsidR="00BC7C75" w:rsidRDefault="00000000">
      <w:pPr>
        <w:spacing w:after="60" w:line="278" w:lineRule="auto"/>
        <w:ind w:firstLine="317"/>
      </w:pPr>
      <w:r>
        <w:rPr>
          <w:rFonts w:cs="EB Garamond"/>
          <w:sz w:val="21"/>
        </w:rPr>
        <w:t>A spouse who becomes the organizer, the witness, the memory-keeper, and the emotional container has not simply “helped out.” That person has entered the illness too. National Cancer Institute guidance now explicitly recognizes informal caregivers as central participants in treatment planning, decision-making, symptom management, and the overall cancer trajectory, and it documents the psychological, practical, and health burdens caregiving can carry.</w:t>
      </w:r>
      <w:r>
        <w:rPr>
          <w:rFonts w:cs="EB Garamond"/>
          <w:sz w:val="16"/>
          <w:vertAlign w:val="superscript"/>
        </w:rPr>
        <w:t>15</w:t>
      </w:r>
    </w:p>
    <w:p w14:paraId="4E858471" w14:textId="77777777" w:rsidR="00BC7C75" w:rsidRDefault="00000000">
      <w:pPr>
        <w:spacing w:after="60" w:line="278" w:lineRule="auto"/>
        <w:ind w:firstLine="317"/>
      </w:pPr>
      <w:r>
        <w:rPr>
          <w:rFonts w:cs="EB Garamond"/>
          <w:sz w:val="21"/>
        </w:rPr>
        <w:t>The patient is not the only one trying to remain intact.</w:t>
      </w:r>
    </w:p>
    <w:p w14:paraId="7336C0A2" w14:textId="77777777" w:rsidR="00BC7C75" w:rsidRDefault="00000000">
      <w:pPr>
        <w:spacing w:after="60" w:line="278" w:lineRule="auto"/>
        <w:ind w:firstLine="317"/>
      </w:pPr>
      <w:r>
        <w:rPr>
          <w:rFonts w:cs="EB Garamond"/>
          <w:sz w:val="21"/>
        </w:rPr>
        <w:t>And the clinician is not outside the strain either.</w:t>
      </w:r>
    </w:p>
    <w:p w14:paraId="16890209" w14:textId="77777777" w:rsidR="00BC7C75" w:rsidRDefault="00000000">
      <w:pPr>
        <w:spacing w:after="60" w:line="278" w:lineRule="auto"/>
        <w:ind w:firstLine="317"/>
      </w:pPr>
      <w:r>
        <w:rPr>
          <w:rFonts w:cs="EB Garamond"/>
          <w:sz w:val="21"/>
        </w:rPr>
        <w:t>Modern care asks clinicians for speed, precision, documentation, coordination, and emotional steadiness under conditions that are often structurally misaligned with the amount of human complexity entering each room. Many clinicians know this layer well. They see the patient who shuts down. They see the spouse who is “fine” until the visit ends. They see the person who says yes in the office and disappears from follow-up once they are home with their fear.</w:t>
      </w:r>
    </w:p>
    <w:p w14:paraId="211FDE6D" w14:textId="77777777" w:rsidR="00BC7C75" w:rsidRDefault="00000000">
      <w:pPr>
        <w:spacing w:after="60" w:line="278" w:lineRule="auto"/>
        <w:ind w:firstLine="317"/>
      </w:pPr>
      <w:r>
        <w:rPr>
          <w:rFonts w:cs="EB Garamond"/>
          <w:sz w:val="21"/>
        </w:rPr>
        <w:t>But knowing is not the same as having a durable language or framework.</w:t>
      </w:r>
    </w:p>
    <w:p w14:paraId="5EA4B631" w14:textId="77777777" w:rsidR="00BC7C75" w:rsidRDefault="00000000">
      <w:pPr>
        <w:spacing w:after="60" w:line="278" w:lineRule="auto"/>
        <w:ind w:firstLine="317"/>
      </w:pPr>
      <w:r>
        <w:rPr>
          <w:rFonts w:cs="EB Garamond"/>
          <w:sz w:val="21"/>
        </w:rPr>
        <w:t>That is one reason the human layer continues to be under-supported. It is sensed in fragments, managed case by case, and too often left dependent on the emotional intelligence of individual clinicians rather than protected as part of the architecture of care.</w:t>
      </w:r>
    </w:p>
    <w:p w14:paraId="6FEE5149" w14:textId="77777777" w:rsidR="00BC7C75" w:rsidRDefault="00000000">
      <w:pPr>
        <w:spacing w:after="60" w:line="278" w:lineRule="auto"/>
        <w:ind w:firstLine="317"/>
      </w:pPr>
      <w:r>
        <w:rPr>
          <w:rFonts w:cs="EB Garamond"/>
          <w:sz w:val="21"/>
        </w:rPr>
        <w:lastRenderedPageBreak/>
        <w:t>When that happens, the human consequences do not disappear. They simply become private.</w:t>
      </w:r>
    </w:p>
    <w:p w14:paraId="24B15568" w14:textId="77777777" w:rsidR="00BC7C75" w:rsidRDefault="00000000">
      <w:pPr>
        <w:spacing w:after="60" w:line="278" w:lineRule="auto"/>
        <w:ind w:firstLine="317"/>
      </w:pPr>
      <w:r>
        <w:rPr>
          <w:rFonts w:cs="EB Garamond"/>
          <w:sz w:val="21"/>
        </w:rPr>
        <w:t>Patients sit in cars after appointments trying to reconstruct conversations they were too frightened to absorb.</w:t>
      </w:r>
    </w:p>
    <w:p w14:paraId="4226423C" w14:textId="77777777" w:rsidR="00BC7C75" w:rsidRDefault="00000000">
      <w:pPr>
        <w:spacing w:after="60" w:line="278" w:lineRule="auto"/>
        <w:ind w:firstLine="317"/>
      </w:pPr>
      <w:r>
        <w:rPr>
          <w:rFonts w:cs="EB Garamond"/>
          <w:sz w:val="21"/>
        </w:rPr>
        <w:t>Couples fight at home because one is asking practical questions while the other is still in shock.</w:t>
      </w:r>
    </w:p>
    <w:p w14:paraId="50C7CE43" w14:textId="77777777" w:rsidR="00BC7C75" w:rsidRDefault="00000000">
      <w:pPr>
        <w:spacing w:after="60" w:line="278" w:lineRule="auto"/>
        <w:ind w:firstLine="317"/>
      </w:pPr>
      <w:r>
        <w:rPr>
          <w:rFonts w:cs="EB Garamond"/>
          <w:sz w:val="21"/>
        </w:rPr>
        <w:t>Adult children become coordinators before they have had time to grieve.</w:t>
      </w:r>
    </w:p>
    <w:p w14:paraId="1C40D1B5" w14:textId="77777777" w:rsidR="00BC7C75" w:rsidRDefault="00000000">
      <w:pPr>
        <w:spacing w:after="60" w:line="278" w:lineRule="auto"/>
        <w:ind w:firstLine="317"/>
      </w:pPr>
      <w:r>
        <w:rPr>
          <w:rFonts w:cs="EB Garamond"/>
          <w:sz w:val="21"/>
        </w:rPr>
        <w:t>Patients rehearse “strong” versions of themselves for the clinic and collapse after they leave.</w:t>
      </w:r>
    </w:p>
    <w:p w14:paraId="7DB9DFC5" w14:textId="77777777" w:rsidR="00BC7C75" w:rsidRDefault="00000000">
      <w:pPr>
        <w:spacing w:after="60" w:line="278" w:lineRule="auto"/>
        <w:ind w:firstLine="317"/>
      </w:pPr>
      <w:r>
        <w:rPr>
          <w:rFonts w:cs="EB Garamond"/>
          <w:sz w:val="21"/>
        </w:rPr>
        <w:t>And then many of them wonder, silently, whether they are somehow failing.</w:t>
      </w:r>
    </w:p>
    <w:p w14:paraId="5ECA92A8" w14:textId="77777777" w:rsidR="00BC7C75" w:rsidRDefault="00000000">
      <w:pPr>
        <w:spacing w:after="60" w:line="278" w:lineRule="auto"/>
        <w:ind w:firstLine="317"/>
      </w:pPr>
      <w:r>
        <w:rPr>
          <w:rFonts w:cs="EB Garamond"/>
          <w:sz w:val="21"/>
        </w:rPr>
        <w:t>This chapter argues that they are often not failing at all.</w:t>
      </w:r>
    </w:p>
    <w:p w14:paraId="1C692E3F" w14:textId="77777777" w:rsidR="00BC7C75" w:rsidRDefault="00000000">
      <w:pPr>
        <w:spacing w:after="60" w:line="278" w:lineRule="auto"/>
        <w:ind w:firstLine="317"/>
      </w:pPr>
      <w:r>
        <w:rPr>
          <w:rFonts w:cs="EB Garamond"/>
          <w:sz w:val="21"/>
        </w:rPr>
        <w:t>They are encountering a layer of healing that medicine has not yet learned to name clearly enough.</w:t>
      </w:r>
    </w:p>
    <w:p w14:paraId="0A1FD9FE" w14:textId="77777777" w:rsidR="00BC7C75" w:rsidRDefault="00000000">
      <w:pPr>
        <w:spacing w:after="60" w:line="278" w:lineRule="auto"/>
        <w:ind w:firstLine="317"/>
      </w:pPr>
      <w:r>
        <w:rPr>
          <w:rFonts w:cs="EB Garamond"/>
          <w:sz w:val="21"/>
        </w:rPr>
        <w:t>The challenge, then, is not to replace science with sentiment. It is to deepen science by bringing human experience back into serious view.</w:t>
      </w:r>
    </w:p>
    <w:p w14:paraId="02FA941C" w14:textId="77777777" w:rsidR="00BC7C75" w:rsidRDefault="00000000">
      <w:pPr>
        <w:spacing w:after="60" w:line="278" w:lineRule="auto"/>
        <w:ind w:firstLine="317"/>
      </w:pPr>
      <w:r>
        <w:rPr>
          <w:rFonts w:cs="EB Garamond"/>
          <w:sz w:val="21"/>
        </w:rPr>
        <w:t>The challenge is not to make medicine less rigorous. It is to make our understanding of healing less incomplete.</w:t>
      </w:r>
    </w:p>
    <w:p w14:paraId="62109770" w14:textId="77777777" w:rsidR="00BC7C75" w:rsidRDefault="00000000">
      <w:pPr>
        <w:spacing w:after="60" w:line="278" w:lineRule="auto"/>
        <w:ind w:firstLine="317"/>
      </w:pPr>
      <w:r>
        <w:rPr>
          <w:rFonts w:cs="EB Garamond"/>
          <w:sz w:val="21"/>
        </w:rPr>
        <w:t>The challenge is not to deny biology. It is to stop pretending biology is the only thing a patient is living through.</w:t>
      </w:r>
    </w:p>
    <w:p w14:paraId="318E9668" w14:textId="77777777" w:rsidR="00BC7C75" w:rsidRDefault="00000000">
      <w:pPr>
        <w:spacing w:after="60" w:line="278" w:lineRule="auto"/>
        <w:ind w:firstLine="317"/>
      </w:pPr>
      <w:r>
        <w:rPr>
          <w:rFonts w:cs="EB Garamond"/>
          <w:sz w:val="21"/>
        </w:rPr>
        <w:t>In increasingly complex healthcare systems, patients and families are often the only true constants across settings, specialties, and transitions.</w:t>
      </w:r>
      <w:r>
        <w:rPr>
          <w:rFonts w:cs="EB Garamond"/>
          <w:sz w:val="16"/>
          <w:vertAlign w:val="superscript"/>
        </w:rPr>
        <w:t>16,17</w:t>
      </w:r>
      <w:r>
        <w:rPr>
          <w:rFonts w:cs="EB Garamond"/>
          <w:sz w:val="21"/>
        </w:rPr>
        <w:t xml:space="preserve"> That fact alone should make us more serious about what they are carrying, what they understand, what they fear, and what conditions make care more or less possible for them.</w:t>
      </w:r>
    </w:p>
    <w:p w14:paraId="462CE1C8" w14:textId="6AC5C149" w:rsidR="00BC7C75" w:rsidRDefault="00000000">
      <w:pPr>
        <w:spacing w:after="60" w:line="278" w:lineRule="auto"/>
        <w:ind w:firstLine="317"/>
      </w:pPr>
      <w:proofErr w:type="gramStart"/>
      <w:r>
        <w:rPr>
          <w:rFonts w:cs="EB Garamond"/>
          <w:sz w:val="21"/>
        </w:rPr>
        <w:t>So</w:t>
      </w:r>
      <w:proofErr w:type="gramEnd"/>
      <w:r>
        <w:rPr>
          <w:rFonts w:cs="EB Garamond"/>
          <w:sz w:val="21"/>
        </w:rPr>
        <w:t xml:space="preserve"> when I speak of the missing layer in healing, I am speaking about the human realities that shape how illness is lived and how care is received: fear, overload, uncertainty, disrupted identity, altered time, burdened relationships, shaken trust, and the struggle to remain a self while life is reorganizing around disease.</w:t>
      </w:r>
      <w:r w:rsidR="00D50D90">
        <w:rPr>
          <w:rFonts w:cs="EB Garamond"/>
          <w:sz w:val="21"/>
        </w:rPr>
        <w:t xml:space="preserve"> </w:t>
      </w:r>
      <w:r w:rsidR="00D50D90" w:rsidRPr="00D50D90">
        <w:rPr>
          <w:rFonts w:cs="EB Garamond"/>
          <w:sz w:val="21"/>
        </w:rPr>
        <w:t>Table 1.1 contrasts the variables most easily named in the chart with the human realities that often determine whether care becomes usable.</w:t>
      </w:r>
    </w:p>
    <w:p w14:paraId="42DE92DE" w14:textId="77777777" w:rsidR="00BC7C75" w:rsidRDefault="00000000">
      <w:pPr>
        <w:spacing w:after="60" w:line="278" w:lineRule="auto"/>
        <w:ind w:firstLine="317"/>
      </w:pPr>
      <w:r>
        <w:rPr>
          <w:rFonts w:cs="EB Garamond"/>
          <w:sz w:val="21"/>
        </w:rPr>
        <w:lastRenderedPageBreak/>
        <w:t>This is where the book begins.</w:t>
      </w:r>
    </w:p>
    <w:p w14:paraId="6FB526FC" w14:textId="77777777" w:rsidR="00BC7C75" w:rsidRDefault="00000000">
      <w:pPr>
        <w:spacing w:after="60" w:line="278" w:lineRule="auto"/>
        <w:ind w:firstLine="317"/>
      </w:pPr>
      <w:r>
        <w:rPr>
          <w:rFonts w:cs="EB Garamond"/>
          <w:sz w:val="21"/>
        </w:rPr>
        <w:t>Not with a rejection of medicine.</w:t>
      </w:r>
    </w:p>
    <w:p w14:paraId="13A597AC" w14:textId="77777777" w:rsidR="00BC7C75" w:rsidRDefault="00000000">
      <w:pPr>
        <w:spacing w:after="60" w:line="278" w:lineRule="auto"/>
        <w:ind w:firstLine="317"/>
      </w:pPr>
      <w:r>
        <w:rPr>
          <w:rFonts w:cs="EB Garamond"/>
          <w:sz w:val="21"/>
        </w:rPr>
        <w:t>Not with vague inspiration.</w:t>
      </w:r>
    </w:p>
    <w:p w14:paraId="52B85A34" w14:textId="77777777" w:rsidR="00BC7C75" w:rsidRDefault="00000000">
      <w:pPr>
        <w:spacing w:after="60" w:line="278" w:lineRule="auto"/>
        <w:ind w:firstLine="317"/>
      </w:pPr>
      <w:r>
        <w:rPr>
          <w:rFonts w:cs="EB Garamond"/>
          <w:sz w:val="21"/>
        </w:rPr>
        <w:t>Not with the claim that emotion explains everything.</w:t>
      </w:r>
    </w:p>
    <w:p w14:paraId="056969FD" w14:textId="77777777" w:rsidR="00BC7C75" w:rsidRDefault="00000000">
      <w:pPr>
        <w:spacing w:after="60" w:line="278" w:lineRule="auto"/>
        <w:ind w:firstLine="317"/>
      </w:pPr>
      <w:r>
        <w:rPr>
          <w:rFonts w:cs="EB Garamond"/>
          <w:sz w:val="21"/>
        </w:rPr>
        <w:t>But with the recognition that a diagnosis is never only a medical event.</w:t>
      </w:r>
    </w:p>
    <w:p w14:paraId="3813D45F" w14:textId="77777777" w:rsidR="00BC7C75" w:rsidRDefault="00000000">
      <w:pPr>
        <w:spacing w:after="60" w:line="278" w:lineRule="auto"/>
        <w:ind w:firstLine="317"/>
      </w:pPr>
      <w:r>
        <w:rPr>
          <w:rFonts w:cs="EB Garamond"/>
          <w:sz w:val="21"/>
        </w:rPr>
        <w:t>It is also the beginning of a human experience.</w:t>
      </w:r>
    </w:p>
    <w:p w14:paraId="3DFE8F72" w14:textId="2D20C2A5" w:rsidR="00BC7C75" w:rsidRDefault="00BC7C75">
      <w:pPr>
        <w:spacing w:before="120" w:after="80" w:line="259" w:lineRule="auto"/>
        <w:jc w:val="center"/>
      </w:pPr>
    </w:p>
    <w:tbl>
      <w:tblPr>
        <w:tblStyle w:val="TableGrid"/>
        <w:tblW w:w="0" w:type="auto"/>
        <w:jc w:val="center"/>
        <w:tblLook w:val="04A0" w:firstRow="1" w:lastRow="0" w:firstColumn="1" w:lastColumn="0" w:noHBand="0" w:noVBand="1"/>
      </w:tblPr>
      <w:tblGrid>
        <w:gridCol w:w="2448"/>
        <w:gridCol w:w="3672"/>
      </w:tblGrid>
      <w:tr w:rsidR="00BC7C75" w14:paraId="128F58CA" w14:textId="77777777">
        <w:trPr>
          <w:jc w:val="center"/>
        </w:trPr>
        <w:tc>
          <w:tcPr>
            <w:tcW w:w="2448" w:type="dxa"/>
            <w:shd w:val="clear" w:color="auto" w:fill="374A65"/>
            <w:tcMar>
              <w:top w:w="90" w:type="dxa"/>
              <w:left w:w="100" w:type="dxa"/>
              <w:bottom w:w="90" w:type="dxa"/>
              <w:right w:w="100" w:type="dxa"/>
            </w:tcMar>
            <w:vAlign w:val="center"/>
          </w:tcPr>
          <w:p w14:paraId="69D1E672" w14:textId="77777777" w:rsidR="00BC7C75" w:rsidRDefault="00000000">
            <w:pPr>
              <w:spacing w:line="264" w:lineRule="auto"/>
              <w:jc w:val="center"/>
            </w:pPr>
            <w:r>
              <w:rPr>
                <w:rFonts w:ascii="Inter" w:hAnsi="Inter" w:cs="Inter"/>
                <w:b/>
                <w:color w:val="FFFFFF"/>
                <w:sz w:val="18"/>
              </w:rPr>
              <w:t>What medicine sees first</w:t>
            </w:r>
          </w:p>
        </w:tc>
        <w:tc>
          <w:tcPr>
            <w:tcW w:w="3672" w:type="dxa"/>
            <w:shd w:val="clear" w:color="auto" w:fill="374A65"/>
            <w:tcMar>
              <w:top w:w="90" w:type="dxa"/>
              <w:left w:w="100" w:type="dxa"/>
              <w:bottom w:w="90" w:type="dxa"/>
              <w:right w:w="100" w:type="dxa"/>
            </w:tcMar>
            <w:vAlign w:val="center"/>
          </w:tcPr>
          <w:p w14:paraId="3482A20B" w14:textId="77777777" w:rsidR="00BC7C75" w:rsidRDefault="00000000">
            <w:pPr>
              <w:spacing w:line="264" w:lineRule="auto"/>
              <w:jc w:val="center"/>
            </w:pPr>
            <w:r>
              <w:rPr>
                <w:rFonts w:ascii="Inter" w:hAnsi="Inter" w:cs="Inter"/>
                <w:b/>
                <w:color w:val="FFFFFF"/>
                <w:sz w:val="18"/>
              </w:rPr>
              <w:t>What patients often live first</w:t>
            </w:r>
          </w:p>
        </w:tc>
      </w:tr>
      <w:tr w:rsidR="00BC7C75" w14:paraId="165EC9F2" w14:textId="77777777">
        <w:trPr>
          <w:jc w:val="center"/>
        </w:trPr>
        <w:tc>
          <w:tcPr>
            <w:tcW w:w="2448" w:type="dxa"/>
            <w:tcMar>
              <w:top w:w="90" w:type="dxa"/>
              <w:left w:w="100" w:type="dxa"/>
              <w:bottom w:w="90" w:type="dxa"/>
              <w:right w:w="100" w:type="dxa"/>
            </w:tcMar>
            <w:vAlign w:val="center"/>
          </w:tcPr>
          <w:p w14:paraId="204DFA3A" w14:textId="77777777" w:rsidR="00BC7C75" w:rsidRDefault="00000000">
            <w:pPr>
              <w:spacing w:line="264" w:lineRule="auto"/>
            </w:pPr>
            <w:r>
              <w:rPr>
                <w:rFonts w:cs="EB Garamond"/>
                <w:sz w:val="19"/>
              </w:rPr>
              <w:t>Diagnosis</w:t>
            </w:r>
          </w:p>
        </w:tc>
        <w:tc>
          <w:tcPr>
            <w:tcW w:w="3672" w:type="dxa"/>
            <w:tcMar>
              <w:top w:w="90" w:type="dxa"/>
              <w:left w:w="100" w:type="dxa"/>
              <w:bottom w:w="90" w:type="dxa"/>
              <w:right w:w="100" w:type="dxa"/>
            </w:tcMar>
            <w:vAlign w:val="center"/>
          </w:tcPr>
          <w:p w14:paraId="6A85496D" w14:textId="77777777" w:rsidR="00BC7C75" w:rsidRDefault="00000000">
            <w:pPr>
              <w:spacing w:line="264" w:lineRule="auto"/>
            </w:pPr>
            <w:r>
              <w:rPr>
                <w:rFonts w:cs="EB Garamond"/>
                <w:sz w:val="19"/>
              </w:rPr>
              <w:t>Shock</w:t>
            </w:r>
          </w:p>
        </w:tc>
      </w:tr>
      <w:tr w:rsidR="00BC7C75" w14:paraId="6DDC2BFB" w14:textId="77777777">
        <w:trPr>
          <w:jc w:val="center"/>
        </w:trPr>
        <w:tc>
          <w:tcPr>
            <w:tcW w:w="2448" w:type="dxa"/>
            <w:shd w:val="clear" w:color="auto" w:fill="F8F6F2"/>
            <w:tcMar>
              <w:top w:w="90" w:type="dxa"/>
              <w:left w:w="100" w:type="dxa"/>
              <w:bottom w:w="90" w:type="dxa"/>
              <w:right w:w="100" w:type="dxa"/>
            </w:tcMar>
            <w:vAlign w:val="center"/>
          </w:tcPr>
          <w:p w14:paraId="4D75F93E" w14:textId="77777777" w:rsidR="00BC7C75" w:rsidRDefault="00000000">
            <w:pPr>
              <w:spacing w:line="264" w:lineRule="auto"/>
            </w:pPr>
            <w:r>
              <w:rPr>
                <w:rFonts w:cs="EB Garamond"/>
                <w:sz w:val="19"/>
              </w:rPr>
              <w:t>Treatment options</w:t>
            </w:r>
          </w:p>
        </w:tc>
        <w:tc>
          <w:tcPr>
            <w:tcW w:w="3672" w:type="dxa"/>
            <w:shd w:val="clear" w:color="auto" w:fill="F8F6F2"/>
            <w:tcMar>
              <w:top w:w="90" w:type="dxa"/>
              <w:left w:w="100" w:type="dxa"/>
              <w:bottom w:w="90" w:type="dxa"/>
              <w:right w:w="100" w:type="dxa"/>
            </w:tcMar>
            <w:vAlign w:val="center"/>
          </w:tcPr>
          <w:p w14:paraId="41E79F6F" w14:textId="77777777" w:rsidR="00BC7C75" w:rsidRDefault="00000000">
            <w:pPr>
              <w:spacing w:line="264" w:lineRule="auto"/>
            </w:pPr>
            <w:r>
              <w:rPr>
                <w:rFonts w:cs="EB Garamond"/>
                <w:sz w:val="19"/>
              </w:rPr>
              <w:t>Overload</w:t>
            </w:r>
          </w:p>
        </w:tc>
      </w:tr>
      <w:tr w:rsidR="00BC7C75" w14:paraId="48211383" w14:textId="77777777">
        <w:trPr>
          <w:jc w:val="center"/>
        </w:trPr>
        <w:tc>
          <w:tcPr>
            <w:tcW w:w="2448" w:type="dxa"/>
            <w:tcMar>
              <w:top w:w="90" w:type="dxa"/>
              <w:left w:w="100" w:type="dxa"/>
              <w:bottom w:w="90" w:type="dxa"/>
              <w:right w:w="100" w:type="dxa"/>
            </w:tcMar>
            <w:vAlign w:val="center"/>
          </w:tcPr>
          <w:p w14:paraId="3290210A" w14:textId="77777777" w:rsidR="00BC7C75" w:rsidRDefault="00000000">
            <w:pPr>
              <w:spacing w:line="264" w:lineRule="auto"/>
            </w:pPr>
            <w:r>
              <w:rPr>
                <w:rFonts w:cs="EB Garamond"/>
                <w:sz w:val="19"/>
              </w:rPr>
              <w:t>Prognosis</w:t>
            </w:r>
          </w:p>
        </w:tc>
        <w:tc>
          <w:tcPr>
            <w:tcW w:w="3672" w:type="dxa"/>
            <w:tcMar>
              <w:top w:w="90" w:type="dxa"/>
              <w:left w:w="100" w:type="dxa"/>
              <w:bottom w:w="90" w:type="dxa"/>
              <w:right w:w="100" w:type="dxa"/>
            </w:tcMar>
            <w:vAlign w:val="center"/>
          </w:tcPr>
          <w:p w14:paraId="5E5042D7" w14:textId="77777777" w:rsidR="00BC7C75" w:rsidRDefault="00000000">
            <w:pPr>
              <w:spacing w:line="264" w:lineRule="auto"/>
            </w:pPr>
            <w:r>
              <w:rPr>
                <w:rFonts w:cs="EB Garamond"/>
                <w:sz w:val="19"/>
              </w:rPr>
              <w:t>Future collapse or uncertainty</w:t>
            </w:r>
          </w:p>
        </w:tc>
      </w:tr>
      <w:tr w:rsidR="00BC7C75" w14:paraId="0DB92BCF" w14:textId="77777777">
        <w:trPr>
          <w:jc w:val="center"/>
        </w:trPr>
        <w:tc>
          <w:tcPr>
            <w:tcW w:w="2448" w:type="dxa"/>
            <w:shd w:val="clear" w:color="auto" w:fill="F8F6F2"/>
            <w:tcMar>
              <w:top w:w="90" w:type="dxa"/>
              <w:left w:w="100" w:type="dxa"/>
              <w:bottom w:w="90" w:type="dxa"/>
              <w:right w:w="100" w:type="dxa"/>
            </w:tcMar>
            <w:vAlign w:val="center"/>
          </w:tcPr>
          <w:p w14:paraId="37F66786" w14:textId="77777777" w:rsidR="00BC7C75" w:rsidRDefault="00000000">
            <w:pPr>
              <w:spacing w:line="264" w:lineRule="auto"/>
            </w:pPr>
            <w:r>
              <w:rPr>
                <w:rFonts w:cs="EB Garamond"/>
                <w:sz w:val="19"/>
              </w:rPr>
              <w:t>Appointment schedule</w:t>
            </w:r>
          </w:p>
        </w:tc>
        <w:tc>
          <w:tcPr>
            <w:tcW w:w="3672" w:type="dxa"/>
            <w:shd w:val="clear" w:color="auto" w:fill="F8F6F2"/>
            <w:tcMar>
              <w:top w:w="90" w:type="dxa"/>
              <w:left w:w="100" w:type="dxa"/>
              <w:bottom w:w="90" w:type="dxa"/>
              <w:right w:w="100" w:type="dxa"/>
            </w:tcMar>
            <w:vAlign w:val="center"/>
          </w:tcPr>
          <w:p w14:paraId="02EE5ED8" w14:textId="77777777" w:rsidR="00BC7C75" w:rsidRDefault="00000000">
            <w:pPr>
              <w:spacing w:line="264" w:lineRule="auto"/>
            </w:pPr>
            <w:r>
              <w:rPr>
                <w:rFonts w:cs="EB Garamond"/>
                <w:sz w:val="19"/>
              </w:rPr>
              <w:t>Life reorganization</w:t>
            </w:r>
          </w:p>
        </w:tc>
      </w:tr>
      <w:tr w:rsidR="00BC7C75" w14:paraId="301E1AC7" w14:textId="77777777">
        <w:trPr>
          <w:jc w:val="center"/>
        </w:trPr>
        <w:tc>
          <w:tcPr>
            <w:tcW w:w="2448" w:type="dxa"/>
            <w:tcMar>
              <w:top w:w="90" w:type="dxa"/>
              <w:left w:w="100" w:type="dxa"/>
              <w:bottom w:w="90" w:type="dxa"/>
              <w:right w:w="100" w:type="dxa"/>
            </w:tcMar>
            <w:vAlign w:val="center"/>
          </w:tcPr>
          <w:p w14:paraId="13D2658B" w14:textId="77777777" w:rsidR="00BC7C75" w:rsidRDefault="00000000">
            <w:pPr>
              <w:spacing w:line="264" w:lineRule="auto"/>
            </w:pPr>
            <w:r>
              <w:rPr>
                <w:rFonts w:cs="EB Garamond"/>
                <w:sz w:val="19"/>
              </w:rPr>
              <w:t>Risk discussion</w:t>
            </w:r>
          </w:p>
        </w:tc>
        <w:tc>
          <w:tcPr>
            <w:tcW w:w="3672" w:type="dxa"/>
            <w:tcMar>
              <w:top w:w="90" w:type="dxa"/>
              <w:left w:w="100" w:type="dxa"/>
              <w:bottom w:w="90" w:type="dxa"/>
              <w:right w:w="100" w:type="dxa"/>
            </w:tcMar>
            <w:vAlign w:val="center"/>
          </w:tcPr>
          <w:p w14:paraId="098E389A" w14:textId="77777777" w:rsidR="00BC7C75" w:rsidRDefault="00000000">
            <w:pPr>
              <w:spacing w:line="264" w:lineRule="auto"/>
            </w:pPr>
            <w:r>
              <w:rPr>
                <w:rFonts w:cs="EB Garamond"/>
                <w:sz w:val="19"/>
              </w:rPr>
              <w:t>Fear</w:t>
            </w:r>
          </w:p>
        </w:tc>
      </w:tr>
      <w:tr w:rsidR="00BC7C75" w14:paraId="78D8CC23" w14:textId="77777777">
        <w:trPr>
          <w:jc w:val="center"/>
        </w:trPr>
        <w:tc>
          <w:tcPr>
            <w:tcW w:w="2448" w:type="dxa"/>
            <w:shd w:val="clear" w:color="auto" w:fill="F8F6F2"/>
            <w:tcMar>
              <w:top w:w="90" w:type="dxa"/>
              <w:left w:w="100" w:type="dxa"/>
              <w:bottom w:w="90" w:type="dxa"/>
              <w:right w:w="100" w:type="dxa"/>
            </w:tcMar>
            <w:vAlign w:val="center"/>
          </w:tcPr>
          <w:p w14:paraId="0DF60BEE" w14:textId="77777777" w:rsidR="00BC7C75" w:rsidRDefault="00000000">
            <w:pPr>
              <w:spacing w:line="264" w:lineRule="auto"/>
            </w:pPr>
            <w:r>
              <w:rPr>
                <w:rFonts w:cs="EB Garamond"/>
                <w:sz w:val="19"/>
              </w:rPr>
              <w:t>Information delivery</w:t>
            </w:r>
          </w:p>
        </w:tc>
        <w:tc>
          <w:tcPr>
            <w:tcW w:w="3672" w:type="dxa"/>
            <w:shd w:val="clear" w:color="auto" w:fill="F8F6F2"/>
            <w:tcMar>
              <w:top w:w="90" w:type="dxa"/>
              <w:left w:w="100" w:type="dxa"/>
              <w:bottom w:w="90" w:type="dxa"/>
              <w:right w:w="100" w:type="dxa"/>
            </w:tcMar>
            <w:vAlign w:val="center"/>
          </w:tcPr>
          <w:p w14:paraId="33344F73" w14:textId="77777777" w:rsidR="00BC7C75" w:rsidRDefault="00000000">
            <w:pPr>
              <w:spacing w:line="264" w:lineRule="auto"/>
            </w:pPr>
            <w:r>
              <w:rPr>
                <w:rFonts w:cs="EB Garamond"/>
                <w:sz w:val="19"/>
              </w:rPr>
              <w:t>Difficulty absorbing</w:t>
            </w:r>
          </w:p>
        </w:tc>
      </w:tr>
      <w:tr w:rsidR="00BC7C75" w14:paraId="6C643016" w14:textId="77777777">
        <w:trPr>
          <w:jc w:val="center"/>
        </w:trPr>
        <w:tc>
          <w:tcPr>
            <w:tcW w:w="2448" w:type="dxa"/>
            <w:tcMar>
              <w:top w:w="90" w:type="dxa"/>
              <w:left w:w="100" w:type="dxa"/>
              <w:bottom w:w="90" w:type="dxa"/>
              <w:right w:w="100" w:type="dxa"/>
            </w:tcMar>
            <w:vAlign w:val="center"/>
          </w:tcPr>
          <w:p w14:paraId="301C40FE" w14:textId="77777777" w:rsidR="00BC7C75" w:rsidRDefault="00000000">
            <w:pPr>
              <w:spacing w:line="264" w:lineRule="auto"/>
            </w:pPr>
            <w:r>
              <w:rPr>
                <w:rFonts w:cs="EB Garamond"/>
                <w:sz w:val="19"/>
              </w:rPr>
              <w:t>Care plan</w:t>
            </w:r>
          </w:p>
        </w:tc>
        <w:tc>
          <w:tcPr>
            <w:tcW w:w="3672" w:type="dxa"/>
            <w:tcMar>
              <w:top w:w="90" w:type="dxa"/>
              <w:left w:w="100" w:type="dxa"/>
              <w:bottom w:w="90" w:type="dxa"/>
              <w:right w:w="100" w:type="dxa"/>
            </w:tcMar>
            <w:vAlign w:val="center"/>
          </w:tcPr>
          <w:p w14:paraId="46F627DD" w14:textId="77777777" w:rsidR="00BC7C75" w:rsidRDefault="00000000">
            <w:pPr>
              <w:spacing w:line="264" w:lineRule="auto"/>
            </w:pPr>
            <w:r>
              <w:rPr>
                <w:rFonts w:cs="EB Garamond"/>
                <w:sz w:val="19"/>
              </w:rPr>
              <w:t>Need for trust and safety</w:t>
            </w:r>
          </w:p>
        </w:tc>
      </w:tr>
    </w:tbl>
    <w:p w14:paraId="38D85029" w14:textId="77777777" w:rsidR="00BC7C75" w:rsidRDefault="00000000" w:rsidP="00D50D90">
      <w:pPr>
        <w:spacing w:before="120" w:after="80" w:line="259" w:lineRule="auto"/>
        <w:jc w:val="center"/>
      </w:pPr>
      <w:r>
        <w:rPr>
          <w:rFonts w:ascii="Inter" w:hAnsi="Inter" w:cs="Inter"/>
          <w:color w:val="6E6A66"/>
          <w:sz w:val="17"/>
        </w:rPr>
        <w:t>Table 1.1. What medicine sees first and what patients live first.</w:t>
      </w:r>
    </w:p>
    <w:p w14:paraId="50743EF4" w14:textId="77777777" w:rsidR="00D50D90" w:rsidRDefault="00D50D90">
      <w:pPr>
        <w:spacing w:after="60" w:line="278" w:lineRule="auto"/>
        <w:rPr>
          <w:rFonts w:cs="EB Garamond"/>
          <w:sz w:val="21"/>
        </w:rPr>
      </w:pPr>
    </w:p>
    <w:p w14:paraId="5D87FE2C" w14:textId="7687BD40" w:rsidR="00BC7C75" w:rsidRDefault="00000000">
      <w:pPr>
        <w:spacing w:after="60" w:line="278" w:lineRule="auto"/>
      </w:pPr>
      <w:r>
        <w:rPr>
          <w:rFonts w:cs="EB Garamond"/>
          <w:sz w:val="21"/>
        </w:rPr>
        <w:t>And what we see—or fail to see—in that experience changes everything that follows.</w:t>
      </w:r>
    </w:p>
    <w:p w14:paraId="452ED08D" w14:textId="77777777" w:rsidR="00BC7C75" w:rsidRDefault="00000000">
      <w:pPr>
        <w:spacing w:after="60" w:line="278" w:lineRule="auto"/>
        <w:ind w:firstLine="317"/>
      </w:pPr>
      <w:r>
        <w:rPr>
          <w:rFonts w:cs="EB Garamond"/>
          <w:sz w:val="21"/>
        </w:rPr>
        <w:t>This book names that under-recognized terrain as neuroemotional care. Later chapters will define it more fully, but the practical outline can be stated now. Healing becomes more usable when people remain connected, experience enough trust and safety to take in reality, receive knowledge in forms they can metabolize, recover supported choice and autonomy, and regain some access to gratitude or perspective without being pressured into false positivity. Within Novorêx, these are the Five Powers of Healing.</w:t>
      </w:r>
    </w:p>
    <w:p w14:paraId="300380A6" w14:textId="77777777" w:rsidR="00BC7C75" w:rsidRDefault="00000000">
      <w:pPr>
        <w:spacing w:after="60" w:line="278" w:lineRule="auto"/>
        <w:ind w:firstLine="317"/>
      </w:pPr>
      <w:r>
        <w:rPr>
          <w:rFonts w:cs="EB Garamond"/>
          <w:sz w:val="21"/>
        </w:rPr>
        <w:t xml:space="preserve">Once this layer is recognized, the rest of care has to be reorganized around it. We need clearer language for what people require in order to receive medicine </w:t>
      </w:r>
      <w:r>
        <w:rPr>
          <w:rFonts w:cs="EB Garamond"/>
          <w:sz w:val="21"/>
        </w:rPr>
        <w:lastRenderedPageBreak/>
        <w:t>well; clearer structures for rebuilding safety, trust, and understanding; and clearer models for restoring usable agency under strain. The chapters that follow attempt to build that language and those structures.</w:t>
      </w:r>
    </w:p>
    <w:p w14:paraId="116B2877" w14:textId="77777777" w:rsidR="00BC7C75" w:rsidRDefault="00000000">
      <w:pPr>
        <w:spacing w:after="60" w:line="278" w:lineRule="auto"/>
        <w:ind w:firstLine="317"/>
      </w:pPr>
      <w:r>
        <w:rPr>
          <w:rFonts w:cs="EB Garamond"/>
          <w:sz w:val="21"/>
        </w:rPr>
        <w:t>Chapter 9 adds a second lens: the Ego Battery, a proprietary Novorêx interpretive and educational model for understanding why patients, caregivers, and clinicians can appear functional while running on depleted inner capacity. The point of both models is not branding. It is precision about the human conditions that change what care becomes in real life.</w:t>
      </w:r>
    </w:p>
    <w:p w14:paraId="56FC0DA2" w14:textId="77777777" w:rsidR="00BC7C75" w:rsidRDefault="00000000">
      <w:pPr>
        <w:spacing w:after="60" w:line="278" w:lineRule="auto"/>
        <w:ind w:firstLine="317"/>
      </w:pPr>
      <w:r>
        <w:rPr>
          <w:rFonts w:cs="EB Garamond"/>
          <w:sz w:val="21"/>
        </w:rPr>
        <w:t>The rest of the book builds that case—from diagnosis shock and the brain under threat to meaning, safety, participation, personalization, and the future of human-centered care.</w:t>
      </w:r>
    </w:p>
    <w:p w14:paraId="1EA3E6BB" w14:textId="77777777" w:rsidR="00BC7C75" w:rsidRDefault="00000000">
      <w:pPr>
        <w:spacing w:after="60" w:line="278" w:lineRule="auto"/>
        <w:ind w:firstLine="317"/>
      </w:pPr>
      <w:r>
        <w:rPr>
          <w:rFonts w:cs="EB Garamond"/>
          <w:sz w:val="21"/>
        </w:rPr>
        <w:t>The practical translation below turns the chapter’s argument into language that patients, caregivers, and clinicians can use in real time.</w:t>
      </w:r>
    </w:p>
    <w:p w14:paraId="10D75679" w14:textId="77777777" w:rsidR="00BC7C75" w:rsidRDefault="00000000">
      <w:pPr>
        <w:pBdr>
          <w:bottom w:val="single" w:sz="6" w:space="2" w:color="D6D1CB"/>
        </w:pBdr>
        <w:spacing w:before="200" w:after="80"/>
      </w:pPr>
      <w:r>
        <w:rPr>
          <w:rFonts w:ascii="Inter" w:hAnsi="Inter" w:cs="Inter"/>
          <w:b/>
          <w:color w:val="374A65"/>
        </w:rPr>
        <w:t>Cross-Context Snapshot</w:t>
      </w:r>
    </w:p>
    <w:p w14:paraId="301D1ED3" w14:textId="77777777" w:rsidR="00BC7C75" w:rsidRDefault="00000000">
      <w:pPr>
        <w:shd w:val="clear" w:color="auto" w:fill="F8F6F2"/>
        <w:spacing w:before="80" w:after="160" w:line="283" w:lineRule="auto"/>
        <w:ind w:left="173" w:right="173"/>
      </w:pPr>
      <w:r>
        <w:rPr>
          <w:rFonts w:cs="EB Garamond"/>
          <w:sz w:val="21"/>
        </w:rPr>
        <w:t>What is named here in diagnosis shock is not limited to oncology or acute medical crisis. The same human sequence appears whenever reality outruns a person’s usable capacity. A founder hearing that the company may fail, a physician receiving a complaint that destabilizes identity, a caregiver being told a parent can no longer live independently, or a leader discovering that the role they built their worth around is unsustainable may all undergo a similar split between information delivered and life reorganized.</w:t>
      </w:r>
    </w:p>
    <w:p w14:paraId="68344756" w14:textId="77777777" w:rsidR="00BC7C75" w:rsidRDefault="00000000">
      <w:pPr>
        <w:spacing w:before="240" w:after="80"/>
      </w:pPr>
      <w:r>
        <w:rPr>
          <w:rFonts w:ascii="Inter" w:hAnsi="Inter" w:cs="Inter"/>
          <w:b/>
          <w:color w:val="374A65"/>
          <w:sz w:val="24"/>
        </w:rPr>
        <w:t>1.2   Practical Translation</w:t>
      </w:r>
    </w:p>
    <w:p w14:paraId="38A1A168" w14:textId="77777777" w:rsidR="00BC7C75" w:rsidRDefault="00000000">
      <w:pPr>
        <w:spacing w:after="60" w:line="278" w:lineRule="auto"/>
      </w:pPr>
      <w:r>
        <w:rPr>
          <w:rFonts w:cs="EB Garamond"/>
          <w:sz w:val="21"/>
        </w:rPr>
        <w:t>What this chapter helps you notice: a diagnosis is rarely received under neutral conditions; fear, overload, identity shock, and trust disruption begin immediately.</w:t>
      </w:r>
    </w:p>
    <w:p w14:paraId="2BB9F397" w14:textId="77777777" w:rsidR="00BC7C75" w:rsidRDefault="00000000">
      <w:pPr>
        <w:spacing w:after="60" w:line="278" w:lineRule="auto"/>
        <w:ind w:firstLine="317"/>
      </w:pPr>
      <w:r>
        <w:rPr>
          <w:rFonts w:cs="EB Garamond"/>
          <w:sz w:val="21"/>
        </w:rPr>
        <w:t>What patients may be feeling but not saying: “I heard the diagnosis, but I stopped processing after that.”</w:t>
      </w:r>
    </w:p>
    <w:p w14:paraId="17C2B569" w14:textId="77777777" w:rsidR="00BC7C75" w:rsidRDefault="00000000">
      <w:pPr>
        <w:spacing w:after="60" w:line="278" w:lineRule="auto"/>
        <w:ind w:firstLine="317"/>
      </w:pPr>
      <w:r>
        <w:rPr>
          <w:rFonts w:cs="EB Garamond"/>
          <w:sz w:val="21"/>
        </w:rPr>
        <w:t>What caregivers may be carrying but not naming: the sudden burden of becoming memory-keeper, organizer, and emotional container.</w:t>
      </w:r>
    </w:p>
    <w:p w14:paraId="23B6308C" w14:textId="77777777" w:rsidR="00BC7C75" w:rsidRDefault="00000000">
      <w:pPr>
        <w:spacing w:after="60" w:line="278" w:lineRule="auto"/>
        <w:ind w:firstLine="317"/>
      </w:pPr>
      <w:r>
        <w:rPr>
          <w:rFonts w:cs="EB Garamond"/>
          <w:sz w:val="21"/>
        </w:rPr>
        <w:t>What clinicians may be seeing but misreading: silence as agreement, overload as passivity, hesitation as unwillingness.</w:t>
      </w:r>
    </w:p>
    <w:p w14:paraId="1F713591" w14:textId="77777777" w:rsidR="00BC7C75" w:rsidRDefault="00000000">
      <w:pPr>
        <w:spacing w:after="60" w:line="278" w:lineRule="auto"/>
        <w:ind w:firstLine="317"/>
      </w:pPr>
      <w:r>
        <w:rPr>
          <w:rFonts w:cs="EB Garamond"/>
          <w:sz w:val="21"/>
        </w:rPr>
        <w:lastRenderedPageBreak/>
        <w:t>One question to ask next: What happened inside you when you first heard the diagnosis?</w:t>
      </w:r>
    </w:p>
    <w:p w14:paraId="5520B2D2" w14:textId="77777777" w:rsidR="00BC7C75" w:rsidRDefault="00000000">
      <w:pPr>
        <w:spacing w:after="60" w:line="278" w:lineRule="auto"/>
        <w:ind w:firstLine="317"/>
      </w:pPr>
      <w:r>
        <w:rPr>
          <w:rFonts w:cs="EB Garamond"/>
          <w:sz w:val="21"/>
        </w:rPr>
        <w:t>If you are the patient, try saying: “I understand the words, but I am not processing them yet. Can we slow down and name the next one or two steps?”</w:t>
      </w:r>
    </w:p>
    <w:p w14:paraId="62791680" w14:textId="77777777" w:rsidR="00BC7C75" w:rsidRDefault="00000000">
      <w:pPr>
        <w:spacing w:after="60" w:line="278" w:lineRule="auto"/>
        <w:ind w:firstLine="317"/>
      </w:pPr>
      <w:r>
        <w:rPr>
          <w:rFonts w:cs="EB Garamond"/>
          <w:sz w:val="21"/>
        </w:rPr>
        <w:t>If you are the caregiver, try asking: “What did you hear clearly, and what already feels blurred or too much?”</w:t>
      </w:r>
    </w:p>
    <w:p w14:paraId="5A612223" w14:textId="77777777" w:rsidR="00BC7C75" w:rsidRDefault="00000000">
      <w:pPr>
        <w:spacing w:after="60" w:line="278" w:lineRule="auto"/>
        <w:ind w:firstLine="317"/>
        <w:rPr>
          <w:rFonts w:cs="EB Garamond"/>
          <w:sz w:val="21"/>
        </w:rPr>
      </w:pPr>
      <w:r>
        <w:rPr>
          <w:rFonts w:cs="EB Garamond"/>
          <w:sz w:val="21"/>
        </w:rPr>
        <w:t>If you are the clinician, try asking: “What have you heard so far, and what feels hardest to take in right now?”</w:t>
      </w:r>
    </w:p>
    <w:p w14:paraId="51A441C1" w14:textId="77777777" w:rsidR="00D50D90" w:rsidRDefault="00D50D90">
      <w:pPr>
        <w:spacing w:after="60" w:line="278" w:lineRule="auto"/>
        <w:ind w:firstLine="317"/>
        <w:rPr>
          <w:rFonts w:cs="EB Garamond"/>
          <w:sz w:val="21"/>
        </w:rPr>
      </w:pPr>
    </w:p>
    <w:p w14:paraId="086DA961" w14:textId="77777777" w:rsidR="00D50D90" w:rsidRDefault="00D50D90">
      <w:pPr>
        <w:spacing w:after="60" w:line="278" w:lineRule="auto"/>
        <w:ind w:firstLine="317"/>
        <w:rPr>
          <w:rFonts w:cs="EB Garamond"/>
          <w:sz w:val="21"/>
        </w:rPr>
      </w:pPr>
    </w:p>
    <w:p w14:paraId="28E525E3" w14:textId="77777777" w:rsidR="00D50D90" w:rsidRDefault="00D50D90">
      <w:pPr>
        <w:spacing w:after="60" w:line="278" w:lineRule="auto"/>
        <w:ind w:firstLine="317"/>
        <w:rPr>
          <w:rFonts w:cs="EB Garamond"/>
          <w:sz w:val="21"/>
        </w:rPr>
      </w:pPr>
    </w:p>
    <w:p w14:paraId="52C43B37" w14:textId="77777777" w:rsidR="00D50D90" w:rsidRDefault="00D50D90">
      <w:pPr>
        <w:spacing w:after="60" w:line="278" w:lineRule="auto"/>
        <w:ind w:firstLine="317"/>
        <w:rPr>
          <w:rFonts w:cs="EB Garamond"/>
          <w:sz w:val="21"/>
        </w:rPr>
      </w:pPr>
    </w:p>
    <w:p w14:paraId="74B5AE63" w14:textId="77777777" w:rsidR="00D50D90" w:rsidRDefault="00D50D90">
      <w:pPr>
        <w:spacing w:after="60" w:line="278" w:lineRule="auto"/>
        <w:ind w:firstLine="317"/>
        <w:rPr>
          <w:rFonts w:cs="EB Garamond"/>
          <w:sz w:val="21"/>
        </w:rPr>
      </w:pPr>
    </w:p>
    <w:p w14:paraId="2C491CC8" w14:textId="77777777" w:rsidR="00D50D90" w:rsidRDefault="00D50D90">
      <w:pPr>
        <w:spacing w:after="60" w:line="278" w:lineRule="auto"/>
        <w:ind w:firstLine="317"/>
        <w:rPr>
          <w:rFonts w:cs="EB Garamond"/>
          <w:sz w:val="21"/>
        </w:rPr>
      </w:pPr>
    </w:p>
    <w:p w14:paraId="780F9E41" w14:textId="77777777" w:rsidR="00D50D90" w:rsidRDefault="00D50D90">
      <w:pPr>
        <w:spacing w:after="60" w:line="278" w:lineRule="auto"/>
        <w:ind w:firstLine="317"/>
        <w:rPr>
          <w:rFonts w:cs="EB Garamond"/>
          <w:sz w:val="21"/>
        </w:rPr>
      </w:pPr>
    </w:p>
    <w:p w14:paraId="7EAB2E96" w14:textId="77777777" w:rsidR="00D50D90" w:rsidRDefault="00D50D90">
      <w:pPr>
        <w:spacing w:after="60" w:line="278" w:lineRule="auto"/>
        <w:ind w:firstLine="317"/>
        <w:rPr>
          <w:rFonts w:cs="EB Garamond"/>
          <w:sz w:val="21"/>
        </w:rPr>
      </w:pPr>
    </w:p>
    <w:p w14:paraId="60DD6158" w14:textId="77777777" w:rsidR="00D50D90" w:rsidRDefault="00D50D90">
      <w:pPr>
        <w:spacing w:after="60" w:line="278" w:lineRule="auto"/>
        <w:ind w:firstLine="317"/>
        <w:rPr>
          <w:rFonts w:cs="EB Garamond"/>
          <w:sz w:val="21"/>
        </w:rPr>
      </w:pPr>
    </w:p>
    <w:p w14:paraId="32E03145" w14:textId="77777777" w:rsidR="00D50D90" w:rsidRDefault="00D50D90">
      <w:pPr>
        <w:spacing w:after="60" w:line="278" w:lineRule="auto"/>
        <w:ind w:firstLine="317"/>
        <w:rPr>
          <w:rFonts w:cs="EB Garamond"/>
          <w:sz w:val="21"/>
        </w:rPr>
      </w:pPr>
    </w:p>
    <w:p w14:paraId="69AA568B" w14:textId="77777777" w:rsidR="00D50D90" w:rsidRDefault="00D50D90">
      <w:pPr>
        <w:spacing w:after="60" w:line="278" w:lineRule="auto"/>
        <w:ind w:firstLine="317"/>
        <w:rPr>
          <w:rFonts w:cs="EB Garamond"/>
          <w:sz w:val="21"/>
        </w:rPr>
      </w:pPr>
    </w:p>
    <w:p w14:paraId="5E2DCE4F" w14:textId="77777777" w:rsidR="00D50D90" w:rsidRDefault="00D50D90">
      <w:pPr>
        <w:spacing w:after="60" w:line="278" w:lineRule="auto"/>
        <w:ind w:firstLine="317"/>
        <w:rPr>
          <w:rFonts w:cs="EB Garamond"/>
          <w:sz w:val="21"/>
        </w:rPr>
      </w:pPr>
    </w:p>
    <w:p w14:paraId="161A61B5" w14:textId="77777777" w:rsidR="00D50D90" w:rsidRDefault="00D50D90">
      <w:pPr>
        <w:spacing w:after="60" w:line="278" w:lineRule="auto"/>
        <w:ind w:firstLine="317"/>
        <w:rPr>
          <w:rFonts w:cs="EB Garamond"/>
          <w:sz w:val="21"/>
        </w:rPr>
      </w:pPr>
    </w:p>
    <w:p w14:paraId="17408171" w14:textId="77777777" w:rsidR="00D50D90" w:rsidRDefault="00D50D90">
      <w:pPr>
        <w:spacing w:after="60" w:line="278" w:lineRule="auto"/>
        <w:ind w:firstLine="317"/>
        <w:rPr>
          <w:rFonts w:cs="EB Garamond"/>
          <w:sz w:val="21"/>
        </w:rPr>
      </w:pPr>
    </w:p>
    <w:p w14:paraId="7CB8F9DB" w14:textId="77777777" w:rsidR="00D50D90" w:rsidRDefault="00D50D90">
      <w:pPr>
        <w:spacing w:after="60" w:line="278" w:lineRule="auto"/>
        <w:ind w:firstLine="317"/>
        <w:rPr>
          <w:rFonts w:cs="EB Garamond"/>
          <w:sz w:val="21"/>
        </w:rPr>
      </w:pPr>
    </w:p>
    <w:p w14:paraId="0AF12382" w14:textId="77777777" w:rsidR="00D50D90" w:rsidRDefault="00D50D90">
      <w:pPr>
        <w:spacing w:after="60" w:line="278" w:lineRule="auto"/>
        <w:ind w:firstLine="317"/>
        <w:rPr>
          <w:rFonts w:cs="EB Garamond"/>
          <w:sz w:val="21"/>
        </w:rPr>
      </w:pPr>
    </w:p>
    <w:p w14:paraId="7887542C" w14:textId="77777777" w:rsidR="00D50D90" w:rsidRDefault="00D50D90">
      <w:pPr>
        <w:spacing w:after="60" w:line="278" w:lineRule="auto"/>
        <w:ind w:firstLine="317"/>
        <w:rPr>
          <w:rFonts w:cs="EB Garamond"/>
          <w:sz w:val="21"/>
        </w:rPr>
      </w:pPr>
    </w:p>
    <w:p w14:paraId="0DC8747D" w14:textId="77777777" w:rsidR="00D50D90" w:rsidRDefault="00D50D90">
      <w:pPr>
        <w:spacing w:after="60" w:line="278" w:lineRule="auto"/>
        <w:ind w:firstLine="317"/>
        <w:rPr>
          <w:rFonts w:cs="EB Garamond"/>
          <w:sz w:val="21"/>
        </w:rPr>
      </w:pPr>
    </w:p>
    <w:p w14:paraId="7C289DCE" w14:textId="77777777" w:rsidR="00D50D90" w:rsidRDefault="00D50D90">
      <w:pPr>
        <w:spacing w:after="60" w:line="278" w:lineRule="auto"/>
        <w:ind w:firstLine="317"/>
        <w:rPr>
          <w:rFonts w:cs="EB Garamond"/>
          <w:sz w:val="21"/>
        </w:rPr>
      </w:pPr>
    </w:p>
    <w:p w14:paraId="183515C3" w14:textId="77777777" w:rsidR="00D50D90" w:rsidRDefault="00D50D90">
      <w:pPr>
        <w:spacing w:after="60" w:line="278" w:lineRule="auto"/>
        <w:ind w:firstLine="317"/>
        <w:rPr>
          <w:rFonts w:cs="EB Garamond"/>
          <w:sz w:val="21"/>
        </w:rPr>
      </w:pPr>
    </w:p>
    <w:p w14:paraId="1078C35E" w14:textId="77777777" w:rsidR="00D50D90" w:rsidRDefault="00D50D90">
      <w:pPr>
        <w:spacing w:after="60" w:line="278" w:lineRule="auto"/>
        <w:ind w:firstLine="317"/>
      </w:pPr>
    </w:p>
    <w:p w14:paraId="5B67794C" w14:textId="77777777" w:rsidR="00BC7C75" w:rsidRDefault="00000000">
      <w:pPr>
        <w:pBdr>
          <w:bottom w:val="single" w:sz="6" w:space="2" w:color="D6D1CB"/>
        </w:pBdr>
        <w:spacing w:before="200" w:after="160"/>
      </w:pPr>
      <w:r>
        <w:rPr>
          <w:rFonts w:ascii="Inter" w:hAnsi="Inter" w:cs="Inter"/>
          <w:b/>
          <w:color w:val="374A65"/>
          <w:sz w:val="24"/>
        </w:rPr>
        <w:lastRenderedPageBreak/>
        <w:t>References</w:t>
      </w:r>
    </w:p>
    <w:p w14:paraId="2BA5379F" w14:textId="77777777" w:rsidR="00BC7C75" w:rsidRDefault="00000000">
      <w:pPr>
        <w:spacing w:after="40" w:line="254" w:lineRule="auto"/>
        <w:ind w:left="288" w:hanging="288"/>
      </w:pPr>
      <w:r>
        <w:rPr>
          <w:rFonts w:ascii="Inter" w:hAnsi="Inter" w:cs="Inter"/>
          <w:b/>
          <w:color w:val="374A65"/>
          <w:sz w:val="18"/>
        </w:rPr>
        <w:t xml:space="preserve">1. </w:t>
      </w:r>
      <w:r>
        <w:rPr>
          <w:rFonts w:cs="EB Garamond"/>
          <w:sz w:val="18"/>
        </w:rPr>
        <w:t>Ronald M. Epstein and Richard L. Street, Jr., Patient-Centered Communication in Cancer Care: Promoting Healing and Reducing Suffering (Bethesda, MD: National Cancer Institute, NIH Publication No. 07-6225, 2007), https://cancercontrol.cancer.gov/sites/default/files/2020-06/pcc_monograph.pdf.</w:t>
      </w:r>
    </w:p>
    <w:p w14:paraId="7C538E86" w14:textId="77777777" w:rsidR="00BC7C75" w:rsidRDefault="00000000">
      <w:pPr>
        <w:spacing w:after="40" w:line="254" w:lineRule="auto"/>
        <w:ind w:left="288" w:hanging="288"/>
      </w:pPr>
      <w:r>
        <w:rPr>
          <w:rFonts w:ascii="Inter" w:hAnsi="Inter" w:cs="Inter"/>
          <w:b/>
          <w:color w:val="374A65"/>
          <w:sz w:val="18"/>
        </w:rPr>
        <w:t xml:space="preserve">2. </w:t>
      </w:r>
      <w:r>
        <w:rPr>
          <w:rFonts w:cs="EB Garamond"/>
          <w:sz w:val="18"/>
        </w:rPr>
        <w:t>National Cancer Institute, “Communication in Cancer Care (PDQ®)–Health Professional Version,” accessed April 6, 2026, https://www.cancer.gov/about-cancer/coping/adjusting-to-cancer/communication-hp-pdq.</w:t>
      </w:r>
    </w:p>
    <w:p w14:paraId="2C8F9AA0" w14:textId="77777777" w:rsidR="00BC7C75" w:rsidRDefault="00000000">
      <w:pPr>
        <w:spacing w:after="40" w:line="254" w:lineRule="auto"/>
        <w:ind w:left="288" w:hanging="288"/>
      </w:pPr>
      <w:r>
        <w:rPr>
          <w:rFonts w:ascii="Inter" w:hAnsi="Inter" w:cs="Inter"/>
          <w:b/>
          <w:color w:val="374A65"/>
          <w:sz w:val="18"/>
        </w:rPr>
        <w:t xml:space="preserve">3. </w:t>
      </w:r>
      <w:r>
        <w:rPr>
          <w:rFonts w:cs="EB Garamond"/>
          <w:sz w:val="18"/>
        </w:rPr>
        <w:t>Health Information National Trends Survey (HINTS), “HINTS Brief 35: Lost in Transition? Cancer Survivorship and Patient-Centered Communication,” National Cancer Institute, September 2018, https://hints.cancer.gov/docs/Briefs/HINTS_Brief_35.pdf.</w:t>
      </w:r>
    </w:p>
    <w:p w14:paraId="1C2BADD7" w14:textId="77777777" w:rsidR="00BC7C75" w:rsidRDefault="00000000">
      <w:pPr>
        <w:spacing w:after="40" w:line="254" w:lineRule="auto"/>
        <w:ind w:left="288" w:hanging="288"/>
      </w:pPr>
      <w:r>
        <w:rPr>
          <w:rFonts w:ascii="Inter" w:hAnsi="Inter" w:cs="Inter"/>
          <w:b/>
          <w:color w:val="374A65"/>
          <w:sz w:val="18"/>
        </w:rPr>
        <w:t xml:space="preserve">4. </w:t>
      </w:r>
      <w:r>
        <w:rPr>
          <w:rFonts w:cs="EB Garamond"/>
          <w:sz w:val="18"/>
        </w:rPr>
        <w:t>Richard L. Street, Jr., Gregory Makoul, Neeraj K. Arora, and Ronald M. Epstein, “How Does Communication Heal? Pathways Linking Clinician-Patient Communication to Health Outcomes,” Patient Education and Counseling 74, no. 3 (2009): 295–301, https://doi.org/10.1016/j.pec.2008.11.015.</w:t>
      </w:r>
    </w:p>
    <w:p w14:paraId="52B8D00B" w14:textId="77777777" w:rsidR="00BC7C75" w:rsidRDefault="00000000">
      <w:pPr>
        <w:spacing w:after="40" w:line="254" w:lineRule="auto"/>
        <w:ind w:left="288" w:hanging="288"/>
      </w:pPr>
      <w:r>
        <w:rPr>
          <w:rFonts w:ascii="Inter" w:hAnsi="Inter" w:cs="Inter"/>
          <w:b/>
          <w:color w:val="374A65"/>
          <w:sz w:val="18"/>
        </w:rPr>
        <w:t xml:space="preserve">5. </w:t>
      </w:r>
      <w:r>
        <w:rPr>
          <w:rFonts w:cs="EB Garamond"/>
          <w:sz w:val="18"/>
        </w:rPr>
        <w:t>Neeraj Arora, Stephen Taplin, Sarah Kobrin, June Peters, Lindsey Hoskins, and Rebecca Ferrer, Optimizing Patient-Centered Communication Across the Cancer Control Continuum: The Role of Affective Science? (National Cancer Institute presentation, 2011), https://cancercontrol.cancer.gov/sites/default/files/2020-06/optimizing-patient-centered-communication.pdf.</w:t>
      </w:r>
    </w:p>
    <w:p w14:paraId="17122604" w14:textId="77777777" w:rsidR="00BC7C75" w:rsidRDefault="00000000">
      <w:pPr>
        <w:spacing w:after="40" w:line="254" w:lineRule="auto"/>
        <w:ind w:left="288" w:hanging="288"/>
      </w:pPr>
      <w:r>
        <w:rPr>
          <w:rFonts w:ascii="Inter" w:hAnsi="Inter" w:cs="Inter"/>
          <w:b/>
          <w:color w:val="374A65"/>
          <w:sz w:val="18"/>
        </w:rPr>
        <w:t xml:space="preserve">6. </w:t>
      </w:r>
      <w:r>
        <w:rPr>
          <w:rFonts w:cs="EB Garamond"/>
          <w:sz w:val="18"/>
        </w:rPr>
        <w:t>Youngjoo Do and Minjeong Seo, “A Concept Analysis of Illness Intrusiveness in Chronic Disease: Application of the Hybrid Model Method,” International Journal of Environmental Research and Public Health 19, no. 10 (2022): 5900, https://doi.org/10.3390/ijerph19105900.</w:t>
      </w:r>
    </w:p>
    <w:p w14:paraId="2E493023" w14:textId="77777777" w:rsidR="00BC7C75" w:rsidRDefault="00000000">
      <w:pPr>
        <w:spacing w:after="40" w:line="254" w:lineRule="auto"/>
        <w:ind w:left="288" w:hanging="288"/>
      </w:pPr>
      <w:r>
        <w:rPr>
          <w:rFonts w:ascii="Inter" w:hAnsi="Inter" w:cs="Inter"/>
          <w:b/>
          <w:color w:val="374A65"/>
          <w:sz w:val="18"/>
        </w:rPr>
        <w:t xml:space="preserve">7. </w:t>
      </w:r>
      <w:r>
        <w:rPr>
          <w:rFonts w:cs="EB Garamond"/>
          <w:sz w:val="18"/>
        </w:rPr>
        <w:t>World Health Organization, “Integrated People-Centred Care,” accessed April 6, 2026, https://www.who.int/health-topics/integrated-people-centered-care.</w:t>
      </w:r>
    </w:p>
    <w:p w14:paraId="48C86989" w14:textId="77777777" w:rsidR="00BC7C75" w:rsidRDefault="00000000">
      <w:pPr>
        <w:spacing w:after="40" w:line="254" w:lineRule="auto"/>
        <w:ind w:left="288" w:hanging="288"/>
      </w:pPr>
      <w:r>
        <w:rPr>
          <w:rFonts w:ascii="Inter" w:hAnsi="Inter" w:cs="Inter"/>
          <w:b/>
          <w:color w:val="374A65"/>
          <w:sz w:val="18"/>
        </w:rPr>
        <w:t xml:space="preserve">8. </w:t>
      </w:r>
      <w:r>
        <w:rPr>
          <w:rFonts w:cs="EB Garamond"/>
          <w:sz w:val="18"/>
        </w:rPr>
        <w:t>World Health Organization, “Patient Engagement for Patient Safety,” accessed April 6, 2026, https://www.who.int/health-topics/patient-safety/patient-engagement-for-patient-safety.</w:t>
      </w:r>
    </w:p>
    <w:p w14:paraId="4B8576CC" w14:textId="77777777" w:rsidR="00BC7C75" w:rsidRDefault="00000000">
      <w:pPr>
        <w:spacing w:after="40" w:line="254" w:lineRule="auto"/>
        <w:ind w:left="288" w:hanging="288"/>
      </w:pPr>
      <w:r>
        <w:rPr>
          <w:rFonts w:ascii="Inter" w:hAnsi="Inter" w:cs="Inter"/>
          <w:b/>
          <w:color w:val="374A65"/>
          <w:sz w:val="18"/>
        </w:rPr>
        <w:t xml:space="preserve">9. </w:t>
      </w:r>
      <w:r>
        <w:rPr>
          <w:rFonts w:cs="EB Garamond"/>
          <w:sz w:val="18"/>
        </w:rPr>
        <w:t>Samer H. Sharkiya, “Quality Communication Can Improve Patient-Centred Health Outcomes among Older Patients: A Rapid Review,” BMC Health Services Research 23 (2023): 886, https://doi.org/10.1186/s12913-023-09869-8.</w:t>
      </w:r>
    </w:p>
    <w:p w14:paraId="5A2B5BA1" w14:textId="77777777" w:rsidR="00BC7C75" w:rsidRDefault="00000000">
      <w:pPr>
        <w:spacing w:after="40" w:line="254" w:lineRule="auto"/>
        <w:ind w:left="288" w:hanging="288"/>
      </w:pPr>
      <w:r>
        <w:rPr>
          <w:rFonts w:ascii="Inter" w:hAnsi="Inter" w:cs="Inter"/>
          <w:b/>
          <w:color w:val="374A65"/>
          <w:sz w:val="18"/>
        </w:rPr>
        <w:t xml:space="preserve">10. </w:t>
      </w:r>
      <w:r>
        <w:rPr>
          <w:rFonts w:cs="EB Garamond"/>
          <w:sz w:val="18"/>
        </w:rPr>
        <w:t>Safa Elkefi, Onur Asan, Zhongyuan Yu, Tina Yen, and Scott Rowley, “Patient-Centered Communication’s Association with Trust, Satisfaction, and Perception of Electronic Health Records Use among Newly Diagnosed Patients with Cancer,” Frontiers in Communication 9 (2024), https://doi.org/10.3389/fcomm.2024.1391981.</w:t>
      </w:r>
    </w:p>
    <w:p w14:paraId="4C67226E" w14:textId="77777777" w:rsidR="00BC7C75" w:rsidRDefault="00000000">
      <w:pPr>
        <w:spacing w:after="40" w:line="254" w:lineRule="auto"/>
        <w:ind w:left="288" w:hanging="288"/>
      </w:pPr>
      <w:r>
        <w:rPr>
          <w:rFonts w:ascii="Inter" w:hAnsi="Inter" w:cs="Inter"/>
          <w:b/>
          <w:color w:val="374A65"/>
          <w:sz w:val="18"/>
        </w:rPr>
        <w:t xml:space="preserve">11. </w:t>
      </w:r>
      <w:r>
        <w:rPr>
          <w:rFonts w:cs="EB Garamond"/>
          <w:sz w:val="18"/>
        </w:rPr>
        <w:t>Linda M. H. Ong, Mieke R. M. Visser, Frans B. Lammes, and Jan C. J. M. de Haes, “Doctor-Patient Communication and Cancer Patients’ Quality of Life and Satisfaction,” Patient Education and Counseling 41, no. 2 (2000): 145–156.</w:t>
      </w:r>
    </w:p>
    <w:p w14:paraId="2BA0A1DD" w14:textId="77777777" w:rsidR="00BC7C75" w:rsidRDefault="00000000">
      <w:pPr>
        <w:spacing w:after="40" w:line="254" w:lineRule="auto"/>
        <w:ind w:left="288" w:hanging="288"/>
      </w:pPr>
      <w:r>
        <w:rPr>
          <w:rFonts w:ascii="Inter" w:hAnsi="Inter" w:cs="Inter"/>
          <w:b/>
          <w:color w:val="374A65"/>
          <w:sz w:val="18"/>
        </w:rPr>
        <w:lastRenderedPageBreak/>
        <w:t xml:space="preserve">12. </w:t>
      </w:r>
      <w:r>
        <w:rPr>
          <w:rFonts w:cs="EB Garamond"/>
          <w:sz w:val="18"/>
        </w:rPr>
        <w:t>R. Zachariae, C. G. Pedersen, A. B. Jensen, E. Ehrnrooth, P. B. Rossen, and H. von der Maase, “Association of Perceived Physician Communication Style with Patient Satisfaction, Distress, Cancer-Related Self-Efficacy, and Perceived Control over the Disease,” British Journal of Cancer 88 (2003): 658–665, https://doi.org/10.1038/sj.bjc.6600798.</w:t>
      </w:r>
    </w:p>
    <w:p w14:paraId="4C6E7533" w14:textId="77777777" w:rsidR="00BC7C75" w:rsidRDefault="00000000">
      <w:pPr>
        <w:spacing w:after="40" w:line="254" w:lineRule="auto"/>
        <w:ind w:left="288" w:hanging="288"/>
      </w:pPr>
      <w:r>
        <w:rPr>
          <w:rFonts w:ascii="Inter" w:hAnsi="Inter" w:cs="Inter"/>
          <w:b/>
          <w:color w:val="374A65"/>
          <w:sz w:val="18"/>
        </w:rPr>
        <w:t xml:space="preserve">13. </w:t>
      </w:r>
      <w:r>
        <w:rPr>
          <w:rFonts w:cs="EB Garamond"/>
          <w:sz w:val="18"/>
        </w:rPr>
        <w:t>Louisa Ewald et al., “Association Between Trust in Health Care Professionals and Health Care Access: Insights From an Online Survey Across 21 Countries,” International Journal of Public Health 70 (2025), https://doi.org/10.3389/ijph.2025.1607884.</w:t>
      </w:r>
    </w:p>
    <w:p w14:paraId="4492FE2B" w14:textId="77777777" w:rsidR="00BC7C75" w:rsidRDefault="00000000">
      <w:pPr>
        <w:spacing w:after="40" w:line="254" w:lineRule="auto"/>
        <w:ind w:left="288" w:hanging="288"/>
      </w:pPr>
      <w:r>
        <w:rPr>
          <w:rFonts w:ascii="Inter" w:hAnsi="Inter" w:cs="Inter"/>
          <w:b/>
          <w:color w:val="374A65"/>
          <w:sz w:val="18"/>
        </w:rPr>
        <w:t xml:space="preserve">14. </w:t>
      </w:r>
      <w:r>
        <w:rPr>
          <w:rFonts w:cs="EB Garamond"/>
          <w:sz w:val="18"/>
        </w:rPr>
        <w:t>Martin S. Hagger and Sheina Orbell, “The Common Sense Model of Illness Self-Regulation: A Conceptual Review and Proposed Extended Model,” Health Psychology Review 16, no. 3 (2022): 347–377, https://doi.org/10.1080/17437199.2021.1878050.</w:t>
      </w:r>
    </w:p>
    <w:p w14:paraId="562D8CE3" w14:textId="77777777" w:rsidR="00BC7C75" w:rsidRDefault="00000000">
      <w:pPr>
        <w:spacing w:after="40" w:line="254" w:lineRule="auto"/>
        <w:ind w:left="288" w:hanging="288"/>
      </w:pPr>
      <w:r>
        <w:rPr>
          <w:rFonts w:ascii="Inter" w:hAnsi="Inter" w:cs="Inter"/>
          <w:b/>
          <w:color w:val="374A65"/>
          <w:sz w:val="18"/>
        </w:rPr>
        <w:t xml:space="preserve">15. </w:t>
      </w:r>
      <w:r>
        <w:rPr>
          <w:rFonts w:cs="EB Garamond"/>
          <w:sz w:val="18"/>
        </w:rPr>
        <w:t>National Cancer Institute, “Informal Caregivers in Cancer: Roles, Burden, and Support (PDQ®)–Health Professional Version,” updated May 6, 2025, https://www.cancer.gov/about-cancer/coping/family-friends/family-caregivers-hp-pdq.</w:t>
      </w:r>
    </w:p>
    <w:p w14:paraId="2C82D56E" w14:textId="77777777" w:rsidR="00BC7C75" w:rsidRDefault="00000000">
      <w:pPr>
        <w:spacing w:after="40" w:line="254" w:lineRule="auto"/>
        <w:ind w:left="288" w:hanging="288"/>
      </w:pPr>
      <w:r>
        <w:rPr>
          <w:rFonts w:ascii="Inter" w:hAnsi="Inter" w:cs="Inter"/>
          <w:b/>
          <w:color w:val="374A65"/>
          <w:sz w:val="18"/>
        </w:rPr>
        <w:t xml:space="preserve">16. </w:t>
      </w:r>
      <w:r>
        <w:rPr>
          <w:rFonts w:cs="EB Garamond"/>
          <w:sz w:val="18"/>
        </w:rPr>
        <w:t>World Health Organization, “Patients for Patient Safety,” accessed April 6, 2026, https://www.who.int/initiatives/patients-for-patient-safety.</w:t>
      </w:r>
    </w:p>
    <w:p w14:paraId="3242A531" w14:textId="77777777" w:rsidR="00BC7C75" w:rsidRDefault="00000000">
      <w:pPr>
        <w:spacing w:after="40" w:line="254" w:lineRule="auto"/>
        <w:ind w:left="288" w:hanging="288"/>
      </w:pPr>
      <w:r>
        <w:rPr>
          <w:rFonts w:ascii="Inter" w:hAnsi="Inter" w:cs="Inter"/>
          <w:b/>
          <w:color w:val="374A65"/>
          <w:sz w:val="18"/>
        </w:rPr>
        <w:t xml:space="preserve">17. </w:t>
      </w:r>
      <w:r>
        <w:rPr>
          <w:rFonts w:cs="EB Garamond"/>
          <w:sz w:val="18"/>
        </w:rPr>
        <w:t>World Health Organization, Engaging Patients for Patient Safety: Advocacy Brief (Geneva: World Health Organization, 2023), https://iris.who.int/handle/10665/375011.</w:t>
      </w:r>
    </w:p>
    <w:p w14:paraId="41C82689" w14:textId="77777777" w:rsidR="00BC7C75" w:rsidRDefault="00000000">
      <w:pPr>
        <w:spacing w:after="40" w:line="254" w:lineRule="auto"/>
        <w:ind w:left="288" w:hanging="288"/>
      </w:pPr>
      <w:r>
        <w:rPr>
          <w:rFonts w:ascii="Inter" w:hAnsi="Inter" w:cs="Inter"/>
          <w:b/>
          <w:color w:val="374A65"/>
          <w:sz w:val="18"/>
        </w:rPr>
        <w:t xml:space="preserve">18. </w:t>
      </w:r>
      <w:r>
        <w:rPr>
          <w:rFonts w:cs="EB Garamond"/>
          <w:sz w:val="18"/>
        </w:rPr>
        <w:t>M. H. Nguyen, E. M. A. Smets, N. Bol, M. B. Bronner, K. M. A. J. Tytgat, E. F. Loos, and J. C. M. van Weert, “Fear and Forget: How Anxiety Impacts Information Recall in Newly Diagnosed Cancer Patients Visiting a Fast-Track Clinic,” Acta Oncologica 58, no. 2 (2019): 182–188, https://doi.org/10.1080/0284186X.2018.1512156.</w:t>
      </w:r>
    </w:p>
    <w:p w14:paraId="367B3887" w14:textId="77777777" w:rsidR="00BC7C75" w:rsidRDefault="00000000">
      <w:pPr>
        <w:spacing w:after="40" w:line="254" w:lineRule="auto"/>
        <w:ind w:left="288" w:hanging="288"/>
      </w:pPr>
      <w:r>
        <w:rPr>
          <w:rFonts w:ascii="Inter" w:hAnsi="Inter" w:cs="Inter"/>
          <w:b/>
          <w:color w:val="374A65"/>
          <w:sz w:val="18"/>
        </w:rPr>
        <w:t xml:space="preserve">19. </w:t>
      </w:r>
      <w:r>
        <w:rPr>
          <w:rFonts w:cs="EB Garamond"/>
          <w:sz w:val="18"/>
        </w:rPr>
        <w:t>“Reconstructing a Meaningful Self: The Identity Work of People Living With Chronic Disease,” Qualitative Health Research (2024), https://doi.org/10.1177/10497323241303393.</w:t>
      </w:r>
    </w:p>
    <w:p w14:paraId="303455F5" w14:textId="77777777" w:rsidR="00BC7C75" w:rsidRDefault="00000000">
      <w:pPr>
        <w:spacing w:after="40" w:line="254" w:lineRule="auto"/>
        <w:ind w:left="288" w:hanging="288"/>
      </w:pPr>
      <w:r>
        <w:rPr>
          <w:rFonts w:ascii="Inter" w:hAnsi="Inter" w:cs="Inter"/>
          <w:b/>
          <w:color w:val="374A65"/>
          <w:sz w:val="18"/>
        </w:rPr>
        <w:t xml:space="preserve">20. </w:t>
      </w:r>
      <w:r>
        <w:rPr>
          <w:rFonts w:cs="EB Garamond"/>
          <w:sz w:val="18"/>
        </w:rPr>
        <w:t>Ronald M. Epstein et al., “Effect of a Patient-Centered Communication Intervention on Oncologist-Patient Communication, Quality of Life, and Health Care Utilization in Advanced Cancer: The VOICE Randomized Clinical Trial,” JAMA Oncology 3, no. 1 (2017): 92–100, https://doi.org/10.1001/jamaoncol.2016.4373.</w:t>
      </w:r>
    </w:p>
    <w:p w14:paraId="62D25358" w14:textId="77777777" w:rsidR="00BC7C75" w:rsidRDefault="00000000">
      <w:pPr>
        <w:spacing w:after="40" w:line="254" w:lineRule="auto"/>
        <w:ind w:left="288" w:hanging="288"/>
      </w:pPr>
      <w:r>
        <w:rPr>
          <w:rFonts w:ascii="Inter" w:hAnsi="Inter" w:cs="Inter"/>
          <w:b/>
          <w:color w:val="374A65"/>
          <w:sz w:val="18"/>
        </w:rPr>
        <w:t xml:space="preserve">21. </w:t>
      </w:r>
      <w:r>
        <w:rPr>
          <w:rFonts w:cs="EB Garamond"/>
          <w:sz w:val="18"/>
        </w:rPr>
        <w:t>Alex Molassiotis and Mian Wang, “Understanding and Supporting Informal Cancer Caregivers,” Current Treatment Options in Oncology 23 (2022): 494–513, https://doi.org/10.1007/s11864-022-00955-3.</w:t>
      </w:r>
    </w:p>
    <w:p w14:paraId="21520DF8" w14:textId="483A6BA8" w:rsidR="00BC7C75" w:rsidRDefault="00000000" w:rsidP="00D50D90">
      <w:pPr>
        <w:spacing w:after="40" w:line="254" w:lineRule="auto"/>
        <w:ind w:left="288" w:hanging="288"/>
        <w:sectPr w:rsidR="00BC7C75">
          <w:headerReference w:type="default" r:id="rId11"/>
          <w:footerReference w:type="default" r:id="rId12"/>
          <w:pgSz w:w="8640" w:h="12960"/>
          <w:pgMar w:top="1037" w:right="1123" w:bottom="1037" w:left="1123" w:header="720" w:footer="720" w:gutter="0"/>
          <w:pgNumType w:start="1"/>
          <w:cols w:space="720"/>
          <w:docGrid w:linePitch="360"/>
        </w:sectPr>
      </w:pPr>
      <w:r>
        <w:rPr>
          <w:rFonts w:ascii="Inter" w:hAnsi="Inter" w:cs="Inter"/>
          <w:b/>
          <w:color w:val="374A65"/>
          <w:sz w:val="18"/>
        </w:rPr>
        <w:t xml:space="preserve">22. </w:t>
      </w:r>
      <w:r>
        <w:rPr>
          <w:rFonts w:cs="EB Garamond"/>
          <w:sz w:val="18"/>
        </w:rPr>
        <w:t>National Cancer Institute, Division of Cancer Control and Population Sciences, “Effects of Digital Tools and Interventions on Patient-Provider Communication Across the Cancer Control Continuum,” accessed April 6, 2026, https://cancercontrol.cancer.gov/research-emphasis/supplement/digital-tools-interventio</w:t>
      </w:r>
    </w:p>
    <w:p w14:paraId="04059B0E" w14:textId="67FD1531" w:rsidR="00BC7C75" w:rsidRDefault="00000000" w:rsidP="00D50D90">
      <w:pPr>
        <w:pBdr>
          <w:bottom w:val="single" w:sz="6" w:space="2" w:color="D6D1CB"/>
        </w:pBdr>
        <w:spacing w:after="360"/>
        <w:jc w:val="center"/>
      </w:pPr>
      <w:r>
        <w:rPr>
          <w:rFonts w:ascii="Inter" w:hAnsi="Inter" w:cs="Inter"/>
          <w:sz w:val="30"/>
        </w:rPr>
        <w:lastRenderedPageBreak/>
        <w:t>A category-defining approach</w:t>
      </w:r>
      <w:r>
        <w:rPr>
          <w:rFonts w:ascii="Inter" w:hAnsi="Inter" w:cs="Inter"/>
          <w:sz w:val="30"/>
        </w:rPr>
        <w:br/>
        <w:t xml:space="preserve">to </w:t>
      </w:r>
      <w:proofErr w:type="spellStart"/>
      <w:r>
        <w:rPr>
          <w:rFonts w:ascii="Inter" w:hAnsi="Inter" w:cs="Inter"/>
          <w:sz w:val="30"/>
        </w:rPr>
        <w:t>neuroemotional</w:t>
      </w:r>
      <w:proofErr w:type="spellEnd"/>
      <w:r>
        <w:rPr>
          <w:rFonts w:ascii="Inter" w:hAnsi="Inter" w:cs="Inter"/>
          <w:sz w:val="30"/>
        </w:rPr>
        <w:t xml:space="preserve"> care</w:t>
      </w:r>
    </w:p>
    <w:p w14:paraId="661A2779" w14:textId="1B565F7A" w:rsidR="00BC7C75" w:rsidRDefault="00000000">
      <w:pPr>
        <w:spacing w:after="60"/>
        <w:ind w:left="360"/>
      </w:pPr>
      <w:r>
        <w:rPr>
          <w:rFonts w:ascii="Inter" w:hAnsi="Inter" w:cs="Inter"/>
        </w:rPr>
        <w:t xml:space="preserve">•  </w:t>
      </w:r>
      <w:r w:rsidR="00D50D90">
        <w:rPr>
          <w:rFonts w:ascii="Inter" w:hAnsi="Inter" w:cs="Inter"/>
        </w:rPr>
        <w:t>Clinical grade</w:t>
      </w:r>
      <w:r>
        <w:rPr>
          <w:rFonts w:ascii="Inter" w:hAnsi="Inter" w:cs="Inter"/>
        </w:rPr>
        <w:t xml:space="preserve"> </w:t>
      </w:r>
      <w:proofErr w:type="spellStart"/>
      <w:r>
        <w:rPr>
          <w:rFonts w:ascii="Inter" w:hAnsi="Inter" w:cs="Inter"/>
        </w:rPr>
        <w:t>neuroemotional</w:t>
      </w:r>
      <w:proofErr w:type="spellEnd"/>
      <w:r>
        <w:rPr>
          <w:rFonts w:ascii="Inter" w:hAnsi="Inter" w:cs="Inter"/>
        </w:rPr>
        <w:t xml:space="preserve"> care</w:t>
      </w:r>
    </w:p>
    <w:p w14:paraId="1469406D" w14:textId="1B9A71C3" w:rsidR="00BC7C75" w:rsidRDefault="00000000">
      <w:pPr>
        <w:spacing w:after="60"/>
        <w:ind w:left="360"/>
      </w:pPr>
      <w:r>
        <w:rPr>
          <w:rFonts w:ascii="Inter" w:hAnsi="Inter" w:cs="Inter"/>
        </w:rPr>
        <w:t xml:space="preserve">•  Incorporating the 5E </w:t>
      </w:r>
      <w:r w:rsidR="00D50D90">
        <w:rPr>
          <w:rFonts w:ascii="Inter" w:hAnsi="Inter" w:cs="Inter"/>
        </w:rPr>
        <w:t>Framework</w:t>
      </w:r>
      <w:r>
        <w:rPr>
          <w:rFonts w:ascii="Inter" w:hAnsi="Inter" w:cs="Inter"/>
        </w:rPr>
        <w:t xml:space="preserve"> / Five Powers Integration</w:t>
      </w:r>
    </w:p>
    <w:p w14:paraId="24D9458E" w14:textId="77777777" w:rsidR="00BC7C75" w:rsidRDefault="00000000">
      <w:pPr>
        <w:spacing w:after="60"/>
        <w:ind w:left="360"/>
      </w:pPr>
      <w:r>
        <w:rPr>
          <w:rFonts w:ascii="Inter" w:hAnsi="Inter" w:cs="Inter"/>
        </w:rPr>
        <w:t>•  Designed to advance humane, clinically serious healing</w:t>
      </w:r>
    </w:p>
    <w:p w14:paraId="3E4E15A7" w14:textId="77777777" w:rsidR="00BC7C75" w:rsidRDefault="00BC7C75"/>
    <w:p w14:paraId="54A182EE" w14:textId="77777777" w:rsidR="00BC7C75" w:rsidRDefault="00BC7C75"/>
    <w:p w14:paraId="5328C771" w14:textId="77777777" w:rsidR="00BC7C75" w:rsidRDefault="00000000">
      <w:pPr>
        <w:shd w:val="clear" w:color="auto" w:fill="F8F6F2"/>
        <w:spacing w:before="280" w:after="280"/>
        <w:ind w:left="432" w:right="432"/>
        <w:jc w:val="center"/>
      </w:pPr>
      <w:r>
        <w:rPr>
          <w:rFonts w:cs="EB Garamond"/>
          <w:i/>
          <w:sz w:val="25"/>
        </w:rPr>
        <w:t>“A clinically serious, humanly vivid framework for understanding the missing layer in healing.”</w:t>
      </w:r>
    </w:p>
    <w:p w14:paraId="5E7811DD" w14:textId="77777777" w:rsidR="00BC7C75" w:rsidRDefault="00BC7C75"/>
    <w:p w14:paraId="3F5246FE" w14:textId="77777777" w:rsidR="00BC7C75" w:rsidRDefault="00000000">
      <w:pPr>
        <w:jc w:val="center"/>
      </w:pPr>
      <w:r>
        <w:rPr>
          <w:noProof/>
        </w:rPr>
        <w:drawing>
          <wp:inline distT="0" distB="0" distL="0" distR="0" wp14:anchorId="4750C09C" wp14:editId="7FF9F556">
            <wp:extent cx="1051560" cy="1051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f_book.png"/>
                    <pic:cNvPicPr/>
                  </pic:nvPicPr>
                  <pic:blipFill>
                    <a:blip r:embed="rId8"/>
                    <a:stretch>
                      <a:fillRect/>
                    </a:stretch>
                  </pic:blipFill>
                  <pic:spPr>
                    <a:xfrm>
                      <a:off x="0" y="0"/>
                      <a:ext cx="1051560" cy="1051560"/>
                    </a:xfrm>
                    <a:prstGeom prst="rect">
                      <a:avLst/>
                    </a:prstGeom>
                  </pic:spPr>
                </pic:pic>
              </a:graphicData>
            </a:graphic>
          </wp:inline>
        </w:drawing>
      </w:r>
    </w:p>
    <w:p w14:paraId="527A53D7" w14:textId="77777777" w:rsidR="00BC7C75" w:rsidRDefault="00000000">
      <w:pPr>
        <w:jc w:val="center"/>
        <w:rPr>
          <w:rFonts w:cs="EB Garamond"/>
          <w:sz w:val="26"/>
        </w:rPr>
      </w:pPr>
      <w:r>
        <w:rPr>
          <w:rFonts w:cs="EB Garamond"/>
          <w:sz w:val="26"/>
        </w:rPr>
        <w:t>Dr. Sam Sater MD</w:t>
      </w:r>
    </w:p>
    <w:p w14:paraId="29B3934E" w14:textId="46074977" w:rsidR="00C75B07" w:rsidRDefault="00C75B07">
      <w:pPr>
        <w:jc w:val="center"/>
      </w:pPr>
      <w:r>
        <w:rPr>
          <w:rFonts w:cs="EB Garamond"/>
          <w:sz w:val="26"/>
        </w:rPr>
        <w:t>April 20, 2026</w:t>
      </w:r>
    </w:p>
    <w:sectPr w:rsidR="00C75B07" w:rsidSect="00034616">
      <w:headerReference w:type="default" r:id="rId13"/>
      <w:footerReference w:type="default" r:id="rId14"/>
      <w:pgSz w:w="8640" w:h="12960"/>
      <w:pgMar w:top="1037" w:right="1037" w:bottom="1037" w:left="103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B079" w14:textId="77777777" w:rsidR="00C00DD8" w:rsidRDefault="00C00DD8">
      <w:pPr>
        <w:spacing w:after="0" w:line="240" w:lineRule="auto"/>
      </w:pPr>
      <w:r>
        <w:separator/>
      </w:r>
    </w:p>
  </w:endnote>
  <w:endnote w:type="continuationSeparator" w:id="0">
    <w:p w14:paraId="69AA0412" w14:textId="77777777" w:rsidR="00C00DD8" w:rsidRDefault="00C0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Inte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94FD" w14:textId="77777777" w:rsidR="00BC7C75" w:rsidRDefault="00BC7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4374" w14:textId="73DCF1C2" w:rsidR="00BC7C75" w:rsidRDefault="00000000">
    <w:pPr>
      <w:pStyle w:val="Footer"/>
      <w:jc w:val="center"/>
    </w:pPr>
    <w:r>
      <w:rPr>
        <w:rFonts w:ascii="Inter" w:hAnsi="Inter" w:cs="Inter"/>
        <w:color w:val="6E6A66"/>
        <w:sz w:val="17"/>
      </w:rPr>
      <w:t xml:space="preserve">Dr. Sam Sater </w:t>
    </w:r>
    <w:proofErr w:type="gramStart"/>
    <w:r>
      <w:rPr>
        <w:rFonts w:ascii="Inter" w:hAnsi="Inter" w:cs="Inter"/>
        <w:color w:val="6E6A66"/>
        <w:sz w:val="17"/>
      </w:rPr>
      <w:t>MD  •</w:t>
    </w:r>
    <w:proofErr w:type="gramEnd"/>
    <w:r>
      <w:rPr>
        <w:rFonts w:ascii="Inter" w:hAnsi="Inter" w:cs="Inter"/>
        <w:color w:val="6E6A66"/>
        <w:sz w:val="17"/>
      </w:rPr>
      <w:t xml:space="preserve">  </w:t>
    </w:r>
    <w:r>
      <w:rPr>
        <w:rFonts w:ascii="Inter" w:hAnsi="Inter" w:cs="Inter"/>
        <w:color w:val="6E6A66"/>
        <w:sz w:val="17"/>
      </w:rPr>
      <w:fldChar w:fldCharType="begin"/>
    </w:r>
    <w:r>
      <w:rPr>
        <w:rFonts w:ascii="Inter" w:hAnsi="Inter" w:cs="Inter"/>
        <w:color w:val="6E6A66"/>
        <w:sz w:val="17"/>
      </w:rPr>
      <w:instrText>PAGE</w:instrText>
    </w:r>
    <w:r w:rsidR="002C13BD">
      <w:rPr>
        <w:rFonts w:ascii="Inter" w:hAnsi="Inter" w:cs="Inter" w:hint="eastAsia"/>
        <w:color w:val="6E6A66"/>
        <w:sz w:val="17"/>
      </w:rPr>
      <w:fldChar w:fldCharType="separate"/>
    </w:r>
    <w:r w:rsidR="002C13BD">
      <w:rPr>
        <w:rFonts w:ascii="Inter" w:hAnsi="Inter" w:cs="Inter" w:hint="eastAsia"/>
        <w:noProof/>
        <w:color w:val="6E6A66"/>
        <w:sz w:val="17"/>
      </w:rPr>
      <w:t>1</w:t>
    </w:r>
    <w:r>
      <w:rPr>
        <w:rFonts w:ascii="Inter" w:hAnsi="Inter" w:cs="Inter"/>
        <w:color w:val="6E6A66"/>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025" w14:textId="77777777" w:rsidR="00BC7C75" w:rsidRDefault="00BC7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A359" w14:textId="77777777" w:rsidR="00C00DD8" w:rsidRDefault="00C00DD8">
      <w:pPr>
        <w:spacing w:after="0" w:line="240" w:lineRule="auto"/>
      </w:pPr>
      <w:r>
        <w:separator/>
      </w:r>
    </w:p>
  </w:footnote>
  <w:footnote w:type="continuationSeparator" w:id="0">
    <w:p w14:paraId="1A3B7B75" w14:textId="77777777" w:rsidR="00C00DD8" w:rsidRDefault="00C0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9C26" w14:textId="77777777" w:rsidR="00BC7C75" w:rsidRDefault="00BC7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5EF3" w14:textId="77777777" w:rsidR="00BC7C75" w:rsidRDefault="00000000">
    <w:pPr>
      <w:pStyle w:val="Header"/>
      <w:pBdr>
        <w:bottom w:val="single" w:sz="6" w:space="2" w:color="D6D1CB"/>
      </w:pBdr>
      <w:spacing w:after="40"/>
      <w:jc w:val="center"/>
    </w:pPr>
    <w:r>
      <w:rPr>
        <w:rFonts w:ascii="Inter" w:hAnsi="Inter" w:cs="Inter"/>
        <w:color w:val="374A65"/>
        <w:sz w:val="17"/>
      </w:rPr>
      <w:t>THE MISSING LAYER IN HEALING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518B" w14:textId="77777777" w:rsidR="00BC7C75" w:rsidRDefault="00BC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2430020">
    <w:abstractNumId w:val="8"/>
  </w:num>
  <w:num w:numId="2" w16cid:durableId="119686920">
    <w:abstractNumId w:val="6"/>
  </w:num>
  <w:num w:numId="3" w16cid:durableId="992876501">
    <w:abstractNumId w:val="5"/>
  </w:num>
  <w:num w:numId="4" w16cid:durableId="1379084487">
    <w:abstractNumId w:val="4"/>
  </w:num>
  <w:num w:numId="5" w16cid:durableId="650058037">
    <w:abstractNumId w:val="7"/>
  </w:num>
  <w:num w:numId="6" w16cid:durableId="1019283490">
    <w:abstractNumId w:val="3"/>
  </w:num>
  <w:num w:numId="7" w16cid:durableId="2085755920">
    <w:abstractNumId w:val="2"/>
  </w:num>
  <w:num w:numId="8" w16cid:durableId="1642735501">
    <w:abstractNumId w:val="1"/>
  </w:num>
  <w:num w:numId="9" w16cid:durableId="85900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13BD"/>
    <w:rsid w:val="00303F05"/>
    <w:rsid w:val="00326F90"/>
    <w:rsid w:val="00AA1D8D"/>
    <w:rsid w:val="00B47730"/>
    <w:rsid w:val="00BC7C75"/>
    <w:rsid w:val="00C00DD8"/>
    <w:rsid w:val="00C75B07"/>
    <w:rsid w:val="00CB0664"/>
    <w:rsid w:val="00D50D90"/>
    <w:rsid w:val="00E572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B099F"/>
  <w14:defaultImageDpi w14:val="300"/>
  <w15:docId w15:val="{4DF1FDF4-823F-6745-A288-BA3645D3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EB Garamond" w:hAnsi="EB Garamond"/>
      <w:color w:val="2222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Houssein Sater</cp:lastModifiedBy>
  <cp:revision>2</cp:revision>
  <dcterms:created xsi:type="dcterms:W3CDTF">2026-04-21T10:29:00Z</dcterms:created>
  <dcterms:modified xsi:type="dcterms:W3CDTF">2026-04-21T10:29:00Z</dcterms:modified>
  <cp:category/>
</cp:coreProperties>
</file>