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3" w:rsidRDefault="007C7A2A" w:rsidP="007C7A2A">
      <w:pPr>
        <w:pStyle w:val="Title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5486400" cy="1527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 paints edit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Miniature Painting Price List</w:t>
      </w:r>
    </w:p>
    <w:p w:rsidR="00265FB3" w:rsidRDefault="007C7A2A">
      <w:pPr>
        <w:pStyle w:val="Heading2"/>
      </w:pPr>
      <w:r>
        <w:t>Standard Miniatures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65FB3">
        <w:tc>
          <w:tcPr>
            <w:tcW w:w="4320" w:type="dxa"/>
          </w:tcPr>
          <w:p w:rsidR="00265FB3" w:rsidRDefault="007C7A2A">
            <w:r>
              <w:t>Model Size / Type</w:t>
            </w:r>
          </w:p>
        </w:tc>
        <w:tc>
          <w:tcPr>
            <w:tcW w:w="4320" w:type="dxa"/>
          </w:tcPr>
          <w:p w:rsidR="00265FB3" w:rsidRDefault="007C7A2A">
            <w:r>
              <w:t>Price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28mm and under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£13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28mm and under – Character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£17.50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32mm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32–40mm – Character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£20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40mm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£18</w:t>
            </w:r>
          </w:p>
        </w:tc>
      </w:tr>
    </w:tbl>
    <w:p w:rsidR="00265FB3" w:rsidRDefault="00265FB3"/>
    <w:p w:rsidR="00265FB3" w:rsidRDefault="007C7A2A">
      <w:pPr>
        <w:pStyle w:val="Heading2"/>
      </w:pPr>
      <w:r>
        <w:t>Larger Miniatures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65FB3">
        <w:tc>
          <w:tcPr>
            <w:tcW w:w="4320" w:type="dxa"/>
          </w:tcPr>
          <w:p w:rsidR="00265FB3" w:rsidRDefault="007C7A2A">
            <w:r>
              <w:t>Model Size / Type</w:t>
            </w:r>
          </w:p>
        </w:tc>
        <w:tc>
          <w:tcPr>
            <w:tcW w:w="4320" w:type="dxa"/>
          </w:tcPr>
          <w:p w:rsidR="00265FB3" w:rsidRDefault="007C7A2A">
            <w:r>
              <w:t>Price</w:t>
            </w:r>
            <w:bookmarkStart w:id="0" w:name="_GoBack"/>
            <w:bookmarkEnd w:id="0"/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50mm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£20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 xml:space="preserve">50mm – </w:t>
            </w:r>
            <w:r>
              <w:t>Character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£25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60mm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£25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60mm – Character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£30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Models with wings or flying bases may incur additional costs</w:t>
            </w:r>
          </w:p>
        </w:tc>
        <w:tc>
          <w:tcPr>
            <w:tcW w:w="4320" w:type="dxa"/>
            <w:vAlign w:val="center"/>
          </w:tcPr>
          <w:p w:rsidR="00265FB3" w:rsidRDefault="00265FB3"/>
        </w:tc>
      </w:tr>
    </w:tbl>
    <w:p w:rsidR="00265FB3" w:rsidRDefault="00265FB3"/>
    <w:p w:rsidR="00265FB3" w:rsidRDefault="007C7A2A">
      <w:pPr>
        <w:pStyle w:val="Heading2"/>
      </w:pPr>
      <w:r>
        <w:t>Cavalry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65FB3">
        <w:tc>
          <w:tcPr>
            <w:tcW w:w="4320" w:type="dxa"/>
          </w:tcPr>
          <w:p w:rsidR="00265FB3" w:rsidRDefault="007C7A2A">
            <w:r>
              <w:t>Model Size / Type</w:t>
            </w:r>
          </w:p>
        </w:tc>
        <w:tc>
          <w:tcPr>
            <w:tcW w:w="4320" w:type="dxa"/>
          </w:tcPr>
          <w:p w:rsidR="00265FB3" w:rsidRDefault="007C7A2A">
            <w:r>
              <w:t>Price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Small Cavalry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£22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Medium–Large Cavalry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£25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Cavalry Character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£35</w:t>
            </w:r>
          </w:p>
        </w:tc>
      </w:tr>
    </w:tbl>
    <w:p w:rsidR="00265FB3" w:rsidRDefault="00265FB3"/>
    <w:p w:rsidR="00265FB3" w:rsidRDefault="007C7A2A">
      <w:pPr>
        <w:pStyle w:val="Heading2"/>
      </w:pPr>
      <w:r>
        <w:t>Transport &amp; Vehicles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65FB3">
        <w:tc>
          <w:tcPr>
            <w:tcW w:w="4320" w:type="dxa"/>
          </w:tcPr>
          <w:p w:rsidR="00265FB3" w:rsidRDefault="007C7A2A">
            <w:r>
              <w:t>Model Size / Type</w:t>
            </w:r>
          </w:p>
        </w:tc>
        <w:tc>
          <w:tcPr>
            <w:tcW w:w="4320" w:type="dxa"/>
          </w:tcPr>
          <w:p w:rsidR="00265FB3" w:rsidRDefault="007C7A2A">
            <w:r>
              <w:t>Price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Small–Medium Transport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£45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Large Transport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£65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Small–Medium Tank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£55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Large Tank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£65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Super Heavy Tank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£100</w:t>
            </w:r>
          </w:p>
        </w:tc>
      </w:tr>
    </w:tbl>
    <w:p w:rsidR="00265FB3" w:rsidRDefault="00265FB3"/>
    <w:p w:rsidR="00265FB3" w:rsidRDefault="007C7A2A">
      <w:pPr>
        <w:pStyle w:val="Heading2"/>
      </w:pPr>
      <w:r>
        <w:lastRenderedPageBreak/>
        <w:t>Walkers &amp; Artillery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65FB3">
        <w:tc>
          <w:tcPr>
            <w:tcW w:w="4320" w:type="dxa"/>
          </w:tcPr>
          <w:p w:rsidR="00265FB3" w:rsidRDefault="007C7A2A">
            <w:r>
              <w:t>Model Size / Type</w:t>
            </w:r>
          </w:p>
        </w:tc>
        <w:tc>
          <w:tcPr>
            <w:tcW w:w="4320" w:type="dxa"/>
          </w:tcPr>
          <w:p w:rsidR="00265FB3" w:rsidRDefault="007C7A2A">
            <w:r>
              <w:t>Price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Small Walkers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£45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Large Walkers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£55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100mm Artillery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£50</w:t>
            </w:r>
          </w:p>
        </w:tc>
      </w:tr>
    </w:tbl>
    <w:p w:rsidR="00265FB3" w:rsidRDefault="00265FB3"/>
    <w:p w:rsidR="00265FB3" w:rsidRDefault="007C7A2A">
      <w:pPr>
        <w:pStyle w:val="Heading2"/>
      </w:pPr>
      <w:r>
        <w:t>Special / Hero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65FB3">
        <w:tc>
          <w:tcPr>
            <w:tcW w:w="4320" w:type="dxa"/>
          </w:tcPr>
          <w:p w:rsidR="00265FB3" w:rsidRDefault="007C7A2A">
            <w:r>
              <w:t>Model Size</w:t>
            </w:r>
            <w:r>
              <w:t xml:space="preserve"> / Type</w:t>
            </w:r>
          </w:p>
        </w:tc>
        <w:tc>
          <w:tcPr>
            <w:tcW w:w="4320" w:type="dxa"/>
          </w:tcPr>
          <w:p w:rsidR="00265FB3" w:rsidRDefault="007C7A2A">
            <w:r>
              <w:t>Price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Primarch (or equivalent)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£120</w:t>
            </w:r>
          </w:p>
        </w:tc>
      </w:tr>
      <w:tr w:rsidR="00265FB3">
        <w:tc>
          <w:tcPr>
            <w:tcW w:w="4320" w:type="dxa"/>
            <w:vAlign w:val="center"/>
          </w:tcPr>
          <w:p w:rsidR="00265FB3" w:rsidRDefault="007C7A2A">
            <w:r>
              <w:t>Demon Primarch (or equivalent)</w:t>
            </w:r>
          </w:p>
        </w:tc>
        <w:tc>
          <w:tcPr>
            <w:tcW w:w="4320" w:type="dxa"/>
            <w:vAlign w:val="center"/>
          </w:tcPr>
          <w:p w:rsidR="00265FB3" w:rsidRDefault="007C7A2A">
            <w:r>
              <w:t>£180</w:t>
            </w:r>
          </w:p>
        </w:tc>
      </w:tr>
    </w:tbl>
    <w:p w:rsidR="00265FB3" w:rsidRDefault="00265FB3"/>
    <w:sectPr w:rsidR="00265F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5FB3"/>
    <w:rsid w:val="0029639D"/>
    <w:rsid w:val="00326F90"/>
    <w:rsid w:val="007C7A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9B4EDE5-2B05-4D7D-90BD-EE7B0E1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BB083-1308-4FD3-A794-4C3E7C84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Cooper</cp:lastModifiedBy>
  <cp:revision>2</cp:revision>
  <dcterms:created xsi:type="dcterms:W3CDTF">2025-12-02T14:35:00Z</dcterms:created>
  <dcterms:modified xsi:type="dcterms:W3CDTF">2025-12-02T14:35:00Z</dcterms:modified>
  <cp:category/>
</cp:coreProperties>
</file>