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F01CD" w14:textId="77777777" w:rsidR="009E54B6" w:rsidRPr="009E54B6" w:rsidRDefault="009E54B6" w:rsidP="009E54B6">
      <w:pPr>
        <w:jc w:val="center"/>
        <w:rPr>
          <w:sz w:val="28"/>
          <w:szCs w:val="28"/>
        </w:rPr>
      </w:pPr>
      <w:r w:rsidRPr="009E54B6">
        <w:rPr>
          <w:b/>
          <w:bCs/>
          <w:sz w:val="28"/>
          <w:szCs w:val="28"/>
        </w:rPr>
        <w:t>The Future of Nutritional Labeling – Enhancing Consumer Awareness and Public Health</w:t>
      </w:r>
    </w:p>
    <w:p w14:paraId="46C94C57" w14:textId="77777777" w:rsidR="009E54B6" w:rsidRDefault="009E54B6" w:rsidP="009E54B6">
      <w:pPr>
        <w:rPr>
          <w:b/>
          <w:bCs/>
        </w:rPr>
      </w:pPr>
      <w:r w:rsidRPr="009E54B6">
        <w:rPr>
          <w:b/>
          <w:bCs/>
        </w:rPr>
        <w:t>Executive Summary</w:t>
      </w:r>
    </w:p>
    <w:p w14:paraId="0B14FB14" w14:textId="33829134" w:rsidR="009E54B6" w:rsidRPr="009E54B6" w:rsidRDefault="009E54B6" w:rsidP="009E54B6">
      <w:r w:rsidRPr="009E54B6">
        <w:t>The Institute for Food and Drug Policy presents this policy brief to address the growing demand for improved nutritional transparency through front-of-package (FOP) labeling. As rates of obesity, diabetes, cardiovascular diseases, and other diet-related illnesses continue to climb in the U.S., evidence supports the role of clear and effective labeling in guiding consumers toward healthier choices. This document outlines the current landscape, evaluates global best practices, and offers policy recommendations for U.S. regulatory bodies.</w:t>
      </w:r>
    </w:p>
    <w:p w14:paraId="3EF0ED6E" w14:textId="77777777" w:rsidR="009E54B6" w:rsidRPr="009E54B6" w:rsidRDefault="009E54B6" w:rsidP="009E54B6">
      <w:r w:rsidRPr="009E54B6">
        <w:pict w14:anchorId="310A6E6D">
          <v:rect id="_x0000_i1067" style="width:0;height:1.5pt" o:hralign="center" o:hrstd="t" o:hr="t" fillcolor="#a0a0a0" stroked="f"/>
        </w:pict>
      </w:r>
    </w:p>
    <w:p w14:paraId="3BD17385" w14:textId="77777777" w:rsidR="009E54B6" w:rsidRPr="009E54B6" w:rsidRDefault="009E54B6" w:rsidP="009E54B6">
      <w:r w:rsidRPr="009E54B6">
        <w:rPr>
          <w:b/>
          <w:bCs/>
        </w:rPr>
        <w:t>1. Introduction</w:t>
      </w:r>
      <w:r w:rsidRPr="009E54B6">
        <w:t xml:space="preserve"> Nutritional labeling has long been a tool for informing consumer decisions, but traditional back-of-package labels are often overlooked or misunderstood. In contrast, FOP labeling—quick-glance indicators placed prominently on food packaging—has proven effective in helping consumers identify healthier options in various countries. This policy brief explores the importance of FOP labeling as a public health strategy and provides an evidence-based roadmap for its adoption in the United States.</w:t>
      </w:r>
    </w:p>
    <w:p w14:paraId="6D4997FF" w14:textId="77777777" w:rsidR="009E54B6" w:rsidRPr="009E54B6" w:rsidRDefault="009E54B6" w:rsidP="009E54B6">
      <w:r w:rsidRPr="009E54B6">
        <w:pict w14:anchorId="783B2462">
          <v:rect id="_x0000_i1068" style="width:0;height:1.5pt" o:hralign="center" o:hrstd="t" o:hr="t" fillcolor="#a0a0a0" stroked="f"/>
        </w:pict>
      </w:r>
    </w:p>
    <w:p w14:paraId="3B58F3F1" w14:textId="77777777" w:rsidR="009E54B6" w:rsidRPr="009E54B6" w:rsidRDefault="009E54B6" w:rsidP="009E54B6">
      <w:r w:rsidRPr="009E54B6">
        <w:rPr>
          <w:b/>
          <w:bCs/>
        </w:rPr>
        <w:t>2. The Case for Front-of-Package (FOP) Labeling</w:t>
      </w:r>
    </w:p>
    <w:p w14:paraId="5E934A60" w14:textId="77777777" w:rsidR="009E54B6" w:rsidRPr="009E54B6" w:rsidRDefault="009E54B6" w:rsidP="009E54B6">
      <w:pPr>
        <w:numPr>
          <w:ilvl w:val="0"/>
          <w:numId w:val="1"/>
        </w:numPr>
      </w:pPr>
      <w:r w:rsidRPr="009E54B6">
        <w:rPr>
          <w:b/>
          <w:bCs/>
        </w:rPr>
        <w:t>Public Health Crisis:</w:t>
      </w:r>
      <w:r w:rsidRPr="009E54B6">
        <w:t xml:space="preserve"> Nearly 74% of American adults are overweight or obese. Diet-related illnesses account for a significant portion of national healthcare </w:t>
      </w:r>
      <w:proofErr w:type="gramStart"/>
      <w:r w:rsidRPr="009E54B6">
        <w:t>expenditures</w:t>
      </w:r>
      <w:proofErr w:type="gramEnd"/>
      <w:r w:rsidRPr="009E54B6">
        <w:t>.</w:t>
      </w:r>
    </w:p>
    <w:p w14:paraId="53993F4F" w14:textId="77777777" w:rsidR="009E54B6" w:rsidRPr="009E54B6" w:rsidRDefault="009E54B6" w:rsidP="009E54B6">
      <w:pPr>
        <w:numPr>
          <w:ilvl w:val="0"/>
          <w:numId w:val="1"/>
        </w:numPr>
      </w:pPr>
      <w:r w:rsidRPr="009E54B6">
        <w:rPr>
          <w:b/>
          <w:bCs/>
        </w:rPr>
        <w:t>Consumer Confusion:</w:t>
      </w:r>
      <w:r w:rsidRPr="009E54B6">
        <w:t xml:space="preserve"> Many Americans struggle to interpret traditional nutrition facts. FOP labeling simplifies complex information.</w:t>
      </w:r>
    </w:p>
    <w:p w14:paraId="391E8BE5" w14:textId="77777777" w:rsidR="009E54B6" w:rsidRPr="009E54B6" w:rsidRDefault="009E54B6" w:rsidP="009E54B6">
      <w:pPr>
        <w:numPr>
          <w:ilvl w:val="0"/>
          <w:numId w:val="1"/>
        </w:numPr>
      </w:pPr>
      <w:r w:rsidRPr="009E54B6">
        <w:rPr>
          <w:b/>
          <w:bCs/>
        </w:rPr>
        <w:t>Behavioral Nudges:</w:t>
      </w:r>
      <w:r w:rsidRPr="009E54B6">
        <w:t xml:space="preserve"> Research indicates that well-designed FOP labels can positively influence consumer behavior at the point of purchase.</w:t>
      </w:r>
    </w:p>
    <w:p w14:paraId="63E9B3FE" w14:textId="77777777" w:rsidR="009E54B6" w:rsidRPr="009E54B6" w:rsidRDefault="009E54B6" w:rsidP="009E54B6">
      <w:r w:rsidRPr="009E54B6">
        <w:pict w14:anchorId="0FEFCD2C">
          <v:rect id="_x0000_i1069" style="width:0;height:1.5pt" o:hralign="center" o:hrstd="t" o:hr="t" fillcolor="#a0a0a0" stroked="f"/>
        </w:pict>
      </w:r>
    </w:p>
    <w:p w14:paraId="17AB1561" w14:textId="77777777" w:rsidR="009E54B6" w:rsidRPr="009E54B6" w:rsidRDefault="009E54B6" w:rsidP="009E54B6">
      <w:r w:rsidRPr="009E54B6">
        <w:rPr>
          <w:b/>
          <w:bCs/>
        </w:rPr>
        <w:t>3. Global Best Practices</w:t>
      </w:r>
    </w:p>
    <w:p w14:paraId="195FF89E" w14:textId="77777777" w:rsidR="009E54B6" w:rsidRPr="009E54B6" w:rsidRDefault="009E54B6" w:rsidP="009E54B6">
      <w:pPr>
        <w:numPr>
          <w:ilvl w:val="0"/>
          <w:numId w:val="2"/>
        </w:numPr>
      </w:pPr>
      <w:r w:rsidRPr="009E54B6">
        <w:rPr>
          <w:b/>
          <w:bCs/>
        </w:rPr>
        <w:t>Chile:</w:t>
      </w:r>
      <w:r w:rsidRPr="009E54B6">
        <w:t xml:space="preserve"> Implemented black warning labels indicating high sugar, sodium, or fat content. Led to reduced purchase of sugary drinks.</w:t>
      </w:r>
    </w:p>
    <w:p w14:paraId="11D178BA" w14:textId="77777777" w:rsidR="009E54B6" w:rsidRPr="009E54B6" w:rsidRDefault="009E54B6" w:rsidP="009E54B6">
      <w:pPr>
        <w:numPr>
          <w:ilvl w:val="0"/>
          <w:numId w:val="2"/>
        </w:numPr>
      </w:pPr>
      <w:r w:rsidRPr="009E54B6">
        <w:rPr>
          <w:b/>
          <w:bCs/>
        </w:rPr>
        <w:lastRenderedPageBreak/>
        <w:t>United Kingdom:</w:t>
      </w:r>
      <w:r w:rsidRPr="009E54B6">
        <w:t xml:space="preserve"> Uses a traffic light system to indicate high, medium, or low content of key nutrients. Widely supported by public health agencies.</w:t>
      </w:r>
    </w:p>
    <w:p w14:paraId="2C113B4F" w14:textId="77777777" w:rsidR="009E54B6" w:rsidRPr="009E54B6" w:rsidRDefault="009E54B6" w:rsidP="009E54B6">
      <w:pPr>
        <w:numPr>
          <w:ilvl w:val="0"/>
          <w:numId w:val="2"/>
        </w:numPr>
      </w:pPr>
      <w:r w:rsidRPr="009E54B6">
        <w:rPr>
          <w:b/>
          <w:bCs/>
        </w:rPr>
        <w:t>Australia/New Zealand:</w:t>
      </w:r>
      <w:r w:rsidRPr="009E54B6">
        <w:t xml:space="preserve"> Utilize a Health Star Rating system to guide consumers toward more nutritious options.</w:t>
      </w:r>
    </w:p>
    <w:p w14:paraId="2C1D00F8" w14:textId="77777777" w:rsidR="009E54B6" w:rsidRPr="009E54B6" w:rsidRDefault="009E54B6" w:rsidP="009E54B6">
      <w:r w:rsidRPr="009E54B6">
        <w:pict w14:anchorId="7D9ED757">
          <v:rect id="_x0000_i1070" style="width:0;height:1.5pt" o:hralign="center" o:hrstd="t" o:hr="t" fillcolor="#a0a0a0" stroked="f"/>
        </w:pict>
      </w:r>
    </w:p>
    <w:p w14:paraId="6FBAF791" w14:textId="77777777" w:rsidR="009E54B6" w:rsidRPr="009E54B6" w:rsidRDefault="009E54B6" w:rsidP="009E54B6">
      <w:r w:rsidRPr="009E54B6">
        <w:rPr>
          <w:b/>
          <w:bCs/>
        </w:rPr>
        <w:t>4. Key Issues with Current U.S. Labeling Policies</w:t>
      </w:r>
    </w:p>
    <w:p w14:paraId="72B86ED5" w14:textId="77777777" w:rsidR="009E54B6" w:rsidRPr="009E54B6" w:rsidRDefault="009E54B6" w:rsidP="009E54B6">
      <w:pPr>
        <w:numPr>
          <w:ilvl w:val="0"/>
          <w:numId w:val="3"/>
        </w:numPr>
      </w:pPr>
      <w:r w:rsidRPr="009E54B6">
        <w:rPr>
          <w:b/>
          <w:bCs/>
        </w:rPr>
        <w:t>Lack of Standardization:</w:t>
      </w:r>
      <w:r w:rsidRPr="009E54B6">
        <w:t xml:space="preserve"> No mandated FOP format; voluntary initiatives lead to inconsistency.</w:t>
      </w:r>
    </w:p>
    <w:p w14:paraId="2880D6A5" w14:textId="77777777" w:rsidR="009E54B6" w:rsidRPr="009E54B6" w:rsidRDefault="009E54B6" w:rsidP="009E54B6">
      <w:pPr>
        <w:numPr>
          <w:ilvl w:val="0"/>
          <w:numId w:val="3"/>
        </w:numPr>
      </w:pPr>
      <w:r w:rsidRPr="009E54B6">
        <w:rPr>
          <w:b/>
          <w:bCs/>
        </w:rPr>
        <w:t>Complexity and Literacy Barriers:</w:t>
      </w:r>
      <w:r w:rsidRPr="009E54B6">
        <w:t xml:space="preserve"> Many labels require nutritional knowledge and mathematical calculation.</w:t>
      </w:r>
    </w:p>
    <w:p w14:paraId="71B735C1" w14:textId="77777777" w:rsidR="009E54B6" w:rsidRPr="009E54B6" w:rsidRDefault="009E54B6" w:rsidP="009E54B6">
      <w:pPr>
        <w:numPr>
          <w:ilvl w:val="0"/>
          <w:numId w:val="3"/>
        </w:numPr>
      </w:pPr>
      <w:r w:rsidRPr="009E54B6">
        <w:rPr>
          <w:b/>
          <w:bCs/>
        </w:rPr>
        <w:t>Limited Visual Guidance:</w:t>
      </w:r>
      <w:r w:rsidRPr="009E54B6">
        <w:t xml:space="preserve"> Absence of graphic indicators that quickly inform healthfulness.</w:t>
      </w:r>
    </w:p>
    <w:p w14:paraId="1C9627B3" w14:textId="77777777" w:rsidR="009E54B6" w:rsidRPr="009E54B6" w:rsidRDefault="009E54B6" w:rsidP="009E54B6">
      <w:r w:rsidRPr="009E54B6">
        <w:pict w14:anchorId="51B813F3">
          <v:rect id="_x0000_i1071" style="width:0;height:1.5pt" o:hralign="center" o:hrstd="t" o:hr="t" fillcolor="#a0a0a0" stroked="f"/>
        </w:pict>
      </w:r>
    </w:p>
    <w:p w14:paraId="477DB7CC" w14:textId="77777777" w:rsidR="009E54B6" w:rsidRPr="009E54B6" w:rsidRDefault="009E54B6" w:rsidP="009E54B6">
      <w:r w:rsidRPr="009E54B6">
        <w:rPr>
          <w:b/>
          <w:bCs/>
        </w:rPr>
        <w:t>5. Recommendations for U.S. Regulatory Agencies</w:t>
      </w:r>
    </w:p>
    <w:p w14:paraId="3D00E8AC" w14:textId="77777777" w:rsidR="009E54B6" w:rsidRPr="009E54B6" w:rsidRDefault="009E54B6" w:rsidP="009E54B6">
      <w:pPr>
        <w:numPr>
          <w:ilvl w:val="0"/>
          <w:numId w:val="4"/>
        </w:numPr>
      </w:pPr>
      <w:r w:rsidRPr="009E54B6">
        <w:rPr>
          <w:b/>
          <w:bCs/>
        </w:rPr>
        <w:t>Mandate Standardized FOP Labeling:</w:t>
      </w:r>
      <w:r w:rsidRPr="009E54B6">
        <w:t xml:space="preserve"> Require all packaged foods to display a government-approved label format.</w:t>
      </w:r>
    </w:p>
    <w:p w14:paraId="66EAE6F9" w14:textId="77777777" w:rsidR="009E54B6" w:rsidRPr="009E54B6" w:rsidRDefault="009E54B6" w:rsidP="009E54B6">
      <w:pPr>
        <w:numPr>
          <w:ilvl w:val="0"/>
          <w:numId w:val="4"/>
        </w:numPr>
      </w:pPr>
      <w:r w:rsidRPr="009E54B6">
        <w:rPr>
          <w:b/>
          <w:bCs/>
        </w:rPr>
        <w:t>Adopt Visual Systems:</w:t>
      </w:r>
      <w:r w:rsidRPr="009E54B6">
        <w:t xml:space="preserve"> Implement easy-to-understand systems such as traffic lights or star ratings.</w:t>
      </w:r>
    </w:p>
    <w:p w14:paraId="5CABCC27" w14:textId="77777777" w:rsidR="009E54B6" w:rsidRPr="009E54B6" w:rsidRDefault="009E54B6" w:rsidP="009E54B6">
      <w:pPr>
        <w:numPr>
          <w:ilvl w:val="0"/>
          <w:numId w:val="4"/>
        </w:numPr>
      </w:pPr>
      <w:r w:rsidRPr="009E54B6">
        <w:rPr>
          <w:b/>
          <w:bCs/>
        </w:rPr>
        <w:t>Ensure Scientific Rigor:</w:t>
      </w:r>
      <w:r w:rsidRPr="009E54B6">
        <w:t xml:space="preserve"> Base nutrient thresholds on up-to-date scientific evidence.</w:t>
      </w:r>
    </w:p>
    <w:p w14:paraId="45C3CB03" w14:textId="77777777" w:rsidR="009E54B6" w:rsidRPr="009E54B6" w:rsidRDefault="009E54B6" w:rsidP="009E54B6">
      <w:pPr>
        <w:numPr>
          <w:ilvl w:val="0"/>
          <w:numId w:val="4"/>
        </w:numPr>
      </w:pPr>
      <w:r w:rsidRPr="009E54B6">
        <w:rPr>
          <w:b/>
          <w:bCs/>
        </w:rPr>
        <w:t>Promote Industry Collaboration:</w:t>
      </w:r>
      <w:r w:rsidRPr="009E54B6">
        <w:t xml:space="preserve"> Engage food manufacturers in developing and refining the system.</w:t>
      </w:r>
    </w:p>
    <w:p w14:paraId="034FF993" w14:textId="77777777" w:rsidR="009E54B6" w:rsidRPr="009E54B6" w:rsidRDefault="009E54B6" w:rsidP="009E54B6">
      <w:pPr>
        <w:numPr>
          <w:ilvl w:val="0"/>
          <w:numId w:val="4"/>
        </w:numPr>
      </w:pPr>
      <w:r w:rsidRPr="009E54B6">
        <w:rPr>
          <w:b/>
          <w:bCs/>
        </w:rPr>
        <w:t>Educate the Public:</w:t>
      </w:r>
      <w:r w:rsidRPr="009E54B6">
        <w:t xml:space="preserve"> Fund campaigns that teach consumers how to read and interpret new labels.</w:t>
      </w:r>
    </w:p>
    <w:p w14:paraId="2E263AD2" w14:textId="77777777" w:rsidR="009E54B6" w:rsidRPr="009E54B6" w:rsidRDefault="009E54B6" w:rsidP="009E54B6">
      <w:pPr>
        <w:numPr>
          <w:ilvl w:val="0"/>
          <w:numId w:val="4"/>
        </w:numPr>
      </w:pPr>
      <w:r w:rsidRPr="009E54B6">
        <w:rPr>
          <w:b/>
          <w:bCs/>
        </w:rPr>
        <w:t>Evaluate and Iterate:</w:t>
      </w:r>
      <w:r w:rsidRPr="009E54B6">
        <w:t xml:space="preserve"> Periodically assess the impact of FOP labeling and update criteria accordingly.</w:t>
      </w:r>
    </w:p>
    <w:p w14:paraId="0BAB4989" w14:textId="77777777" w:rsidR="009E54B6" w:rsidRPr="009E54B6" w:rsidRDefault="009E54B6" w:rsidP="009E54B6">
      <w:r w:rsidRPr="009E54B6">
        <w:pict w14:anchorId="1DE2281F">
          <v:rect id="_x0000_i1072" style="width:0;height:1.5pt" o:hralign="center" o:hrstd="t" o:hr="t" fillcolor="#a0a0a0" stroked="f"/>
        </w:pict>
      </w:r>
    </w:p>
    <w:p w14:paraId="4530BC93" w14:textId="77777777" w:rsidR="009E54B6" w:rsidRPr="009E54B6" w:rsidRDefault="009E54B6" w:rsidP="009E54B6">
      <w:r w:rsidRPr="009E54B6">
        <w:rPr>
          <w:b/>
          <w:bCs/>
        </w:rPr>
        <w:t>6. Stakeholder Engagement and Implementation Strategy</w:t>
      </w:r>
      <w:r w:rsidRPr="009E54B6">
        <w:t xml:space="preserve"> A multi-sectoral approach involving the FDA, CDC, USDA, academic institutions, advocacy groups, and the private sector will be critical for successful implementation. The policy brief encourages establishing a task force to coordinate efforts, set timelines, and monitor progress.</w:t>
      </w:r>
    </w:p>
    <w:p w14:paraId="79BF28E4" w14:textId="77777777" w:rsidR="009E54B6" w:rsidRPr="009E54B6" w:rsidRDefault="009E54B6" w:rsidP="009E54B6">
      <w:r w:rsidRPr="009E54B6">
        <w:lastRenderedPageBreak/>
        <w:pict w14:anchorId="0829F4BF">
          <v:rect id="_x0000_i1073" style="width:0;height:1.5pt" o:hralign="center" o:hrstd="t" o:hr="t" fillcolor="#a0a0a0" stroked="f"/>
        </w:pict>
      </w:r>
    </w:p>
    <w:p w14:paraId="33724914" w14:textId="4FB6D04B" w:rsidR="00C15F94" w:rsidRDefault="009E54B6">
      <w:r w:rsidRPr="009E54B6">
        <w:rPr>
          <w:b/>
          <w:bCs/>
        </w:rPr>
        <w:t>7. Conclusion</w:t>
      </w:r>
      <w:r w:rsidRPr="009E54B6">
        <w:t xml:space="preserve"> A shift toward standardized, visually intuitive FOP labeling could significantly improve consumer understanding and dietary behaviors. By adopting evidence-based policies, U.S. regulatory agencies </w:t>
      </w:r>
      <w:proofErr w:type="gramStart"/>
      <w:r w:rsidRPr="009E54B6">
        <w:t>have the opportunity to</w:t>
      </w:r>
      <w:proofErr w:type="gramEnd"/>
      <w:r w:rsidRPr="009E54B6">
        <w:t xml:space="preserve"> make measurable progress in preventing diet-related diseases and reducing the burden on the healthcare system.</w:t>
      </w:r>
    </w:p>
    <w:sectPr w:rsidR="00C1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556D5"/>
    <w:multiLevelType w:val="multilevel"/>
    <w:tmpl w:val="F56C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E6761"/>
    <w:multiLevelType w:val="multilevel"/>
    <w:tmpl w:val="A476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6714C"/>
    <w:multiLevelType w:val="multilevel"/>
    <w:tmpl w:val="6DE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939B6"/>
    <w:multiLevelType w:val="multilevel"/>
    <w:tmpl w:val="5962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6346">
    <w:abstractNumId w:val="1"/>
  </w:num>
  <w:num w:numId="2" w16cid:durableId="233049101">
    <w:abstractNumId w:val="0"/>
  </w:num>
  <w:num w:numId="3" w16cid:durableId="1669405268">
    <w:abstractNumId w:val="2"/>
  </w:num>
  <w:num w:numId="4" w16cid:durableId="93227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B6"/>
    <w:rsid w:val="000C53E7"/>
    <w:rsid w:val="00146515"/>
    <w:rsid w:val="00393AD7"/>
    <w:rsid w:val="003F35F3"/>
    <w:rsid w:val="009E54B6"/>
    <w:rsid w:val="00C15F94"/>
    <w:rsid w:val="00C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EF70"/>
  <w15:chartTrackingRefBased/>
  <w15:docId w15:val="{B079E334-9AE3-457A-8DAF-905EE08E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4B6"/>
    <w:rPr>
      <w:rFonts w:eastAsiaTheme="majorEastAsia" w:cstheme="majorBidi"/>
      <w:color w:val="272727" w:themeColor="text1" w:themeTint="D8"/>
    </w:rPr>
  </w:style>
  <w:style w:type="paragraph" w:styleId="Title">
    <w:name w:val="Title"/>
    <w:basedOn w:val="Normal"/>
    <w:next w:val="Normal"/>
    <w:link w:val="TitleChar"/>
    <w:uiPriority w:val="10"/>
    <w:qFormat/>
    <w:rsid w:val="009E5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4B6"/>
    <w:pPr>
      <w:spacing w:before="160"/>
      <w:jc w:val="center"/>
    </w:pPr>
    <w:rPr>
      <w:i/>
      <w:iCs/>
      <w:color w:val="404040" w:themeColor="text1" w:themeTint="BF"/>
    </w:rPr>
  </w:style>
  <w:style w:type="character" w:customStyle="1" w:styleId="QuoteChar">
    <w:name w:val="Quote Char"/>
    <w:basedOn w:val="DefaultParagraphFont"/>
    <w:link w:val="Quote"/>
    <w:uiPriority w:val="29"/>
    <w:rsid w:val="009E54B6"/>
    <w:rPr>
      <w:i/>
      <w:iCs/>
      <w:color w:val="404040" w:themeColor="text1" w:themeTint="BF"/>
    </w:rPr>
  </w:style>
  <w:style w:type="paragraph" w:styleId="ListParagraph">
    <w:name w:val="List Paragraph"/>
    <w:basedOn w:val="Normal"/>
    <w:uiPriority w:val="34"/>
    <w:qFormat/>
    <w:rsid w:val="009E54B6"/>
    <w:pPr>
      <w:ind w:left="720"/>
      <w:contextualSpacing/>
    </w:pPr>
  </w:style>
  <w:style w:type="character" w:styleId="IntenseEmphasis">
    <w:name w:val="Intense Emphasis"/>
    <w:basedOn w:val="DefaultParagraphFont"/>
    <w:uiPriority w:val="21"/>
    <w:qFormat/>
    <w:rsid w:val="009E54B6"/>
    <w:rPr>
      <w:i/>
      <w:iCs/>
      <w:color w:val="0F4761" w:themeColor="accent1" w:themeShade="BF"/>
    </w:rPr>
  </w:style>
  <w:style w:type="paragraph" w:styleId="IntenseQuote">
    <w:name w:val="Intense Quote"/>
    <w:basedOn w:val="Normal"/>
    <w:next w:val="Normal"/>
    <w:link w:val="IntenseQuoteChar"/>
    <w:uiPriority w:val="30"/>
    <w:qFormat/>
    <w:rsid w:val="009E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4B6"/>
    <w:rPr>
      <w:i/>
      <w:iCs/>
      <w:color w:val="0F4761" w:themeColor="accent1" w:themeShade="BF"/>
    </w:rPr>
  </w:style>
  <w:style w:type="character" w:styleId="IntenseReference">
    <w:name w:val="Intense Reference"/>
    <w:basedOn w:val="DefaultParagraphFont"/>
    <w:uiPriority w:val="32"/>
    <w:qFormat/>
    <w:rsid w:val="009E54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471273">
      <w:bodyDiv w:val="1"/>
      <w:marLeft w:val="0"/>
      <w:marRight w:val="0"/>
      <w:marTop w:val="0"/>
      <w:marBottom w:val="0"/>
      <w:divBdr>
        <w:top w:val="none" w:sz="0" w:space="0" w:color="auto"/>
        <w:left w:val="none" w:sz="0" w:space="0" w:color="auto"/>
        <w:bottom w:val="none" w:sz="0" w:space="0" w:color="auto"/>
        <w:right w:val="none" w:sz="0" w:space="0" w:color="auto"/>
      </w:divBdr>
      <w:divsChild>
        <w:div w:id="1722289978">
          <w:marLeft w:val="0"/>
          <w:marRight w:val="0"/>
          <w:marTop w:val="0"/>
          <w:marBottom w:val="0"/>
          <w:divBdr>
            <w:top w:val="none" w:sz="0" w:space="0" w:color="auto"/>
            <w:left w:val="none" w:sz="0" w:space="0" w:color="auto"/>
            <w:bottom w:val="none" w:sz="0" w:space="0" w:color="auto"/>
            <w:right w:val="none" w:sz="0" w:space="0" w:color="auto"/>
          </w:divBdr>
        </w:div>
        <w:div w:id="875889713">
          <w:marLeft w:val="0"/>
          <w:marRight w:val="0"/>
          <w:marTop w:val="0"/>
          <w:marBottom w:val="0"/>
          <w:divBdr>
            <w:top w:val="none" w:sz="0" w:space="0" w:color="auto"/>
            <w:left w:val="none" w:sz="0" w:space="0" w:color="auto"/>
            <w:bottom w:val="none" w:sz="0" w:space="0" w:color="auto"/>
            <w:right w:val="none" w:sz="0" w:space="0" w:color="auto"/>
          </w:divBdr>
        </w:div>
        <w:div w:id="890195008">
          <w:marLeft w:val="0"/>
          <w:marRight w:val="0"/>
          <w:marTop w:val="0"/>
          <w:marBottom w:val="0"/>
          <w:divBdr>
            <w:top w:val="none" w:sz="0" w:space="0" w:color="auto"/>
            <w:left w:val="none" w:sz="0" w:space="0" w:color="auto"/>
            <w:bottom w:val="none" w:sz="0" w:space="0" w:color="auto"/>
            <w:right w:val="none" w:sz="0" w:space="0" w:color="auto"/>
          </w:divBdr>
        </w:div>
        <w:div w:id="2071297569">
          <w:marLeft w:val="0"/>
          <w:marRight w:val="0"/>
          <w:marTop w:val="0"/>
          <w:marBottom w:val="0"/>
          <w:divBdr>
            <w:top w:val="none" w:sz="0" w:space="0" w:color="auto"/>
            <w:left w:val="none" w:sz="0" w:space="0" w:color="auto"/>
            <w:bottom w:val="none" w:sz="0" w:space="0" w:color="auto"/>
            <w:right w:val="none" w:sz="0" w:space="0" w:color="auto"/>
          </w:divBdr>
        </w:div>
        <w:div w:id="1128401720">
          <w:marLeft w:val="0"/>
          <w:marRight w:val="0"/>
          <w:marTop w:val="0"/>
          <w:marBottom w:val="0"/>
          <w:divBdr>
            <w:top w:val="none" w:sz="0" w:space="0" w:color="auto"/>
            <w:left w:val="none" w:sz="0" w:space="0" w:color="auto"/>
            <w:bottom w:val="none" w:sz="0" w:space="0" w:color="auto"/>
            <w:right w:val="none" w:sz="0" w:space="0" w:color="auto"/>
          </w:divBdr>
        </w:div>
        <w:div w:id="564072503">
          <w:marLeft w:val="0"/>
          <w:marRight w:val="0"/>
          <w:marTop w:val="0"/>
          <w:marBottom w:val="0"/>
          <w:divBdr>
            <w:top w:val="none" w:sz="0" w:space="0" w:color="auto"/>
            <w:left w:val="none" w:sz="0" w:space="0" w:color="auto"/>
            <w:bottom w:val="none" w:sz="0" w:space="0" w:color="auto"/>
            <w:right w:val="none" w:sz="0" w:space="0" w:color="auto"/>
          </w:divBdr>
        </w:div>
        <w:div w:id="317810259">
          <w:marLeft w:val="0"/>
          <w:marRight w:val="0"/>
          <w:marTop w:val="0"/>
          <w:marBottom w:val="0"/>
          <w:divBdr>
            <w:top w:val="none" w:sz="0" w:space="0" w:color="auto"/>
            <w:left w:val="none" w:sz="0" w:space="0" w:color="auto"/>
            <w:bottom w:val="none" w:sz="0" w:space="0" w:color="auto"/>
            <w:right w:val="none" w:sz="0" w:space="0" w:color="auto"/>
          </w:divBdr>
        </w:div>
      </w:divsChild>
    </w:div>
    <w:div w:id="1659764871">
      <w:bodyDiv w:val="1"/>
      <w:marLeft w:val="0"/>
      <w:marRight w:val="0"/>
      <w:marTop w:val="0"/>
      <w:marBottom w:val="0"/>
      <w:divBdr>
        <w:top w:val="none" w:sz="0" w:space="0" w:color="auto"/>
        <w:left w:val="none" w:sz="0" w:space="0" w:color="auto"/>
        <w:bottom w:val="none" w:sz="0" w:space="0" w:color="auto"/>
        <w:right w:val="none" w:sz="0" w:space="0" w:color="auto"/>
      </w:divBdr>
      <w:divsChild>
        <w:div w:id="360672038">
          <w:marLeft w:val="0"/>
          <w:marRight w:val="0"/>
          <w:marTop w:val="0"/>
          <w:marBottom w:val="0"/>
          <w:divBdr>
            <w:top w:val="none" w:sz="0" w:space="0" w:color="auto"/>
            <w:left w:val="none" w:sz="0" w:space="0" w:color="auto"/>
            <w:bottom w:val="none" w:sz="0" w:space="0" w:color="auto"/>
            <w:right w:val="none" w:sz="0" w:space="0" w:color="auto"/>
          </w:divBdr>
        </w:div>
        <w:div w:id="714618418">
          <w:marLeft w:val="0"/>
          <w:marRight w:val="0"/>
          <w:marTop w:val="0"/>
          <w:marBottom w:val="0"/>
          <w:divBdr>
            <w:top w:val="none" w:sz="0" w:space="0" w:color="auto"/>
            <w:left w:val="none" w:sz="0" w:space="0" w:color="auto"/>
            <w:bottom w:val="none" w:sz="0" w:space="0" w:color="auto"/>
            <w:right w:val="none" w:sz="0" w:space="0" w:color="auto"/>
          </w:divBdr>
        </w:div>
        <w:div w:id="1750690916">
          <w:marLeft w:val="0"/>
          <w:marRight w:val="0"/>
          <w:marTop w:val="0"/>
          <w:marBottom w:val="0"/>
          <w:divBdr>
            <w:top w:val="none" w:sz="0" w:space="0" w:color="auto"/>
            <w:left w:val="none" w:sz="0" w:space="0" w:color="auto"/>
            <w:bottom w:val="none" w:sz="0" w:space="0" w:color="auto"/>
            <w:right w:val="none" w:sz="0" w:space="0" w:color="auto"/>
          </w:divBdr>
        </w:div>
        <w:div w:id="2141454457">
          <w:marLeft w:val="0"/>
          <w:marRight w:val="0"/>
          <w:marTop w:val="0"/>
          <w:marBottom w:val="0"/>
          <w:divBdr>
            <w:top w:val="none" w:sz="0" w:space="0" w:color="auto"/>
            <w:left w:val="none" w:sz="0" w:space="0" w:color="auto"/>
            <w:bottom w:val="none" w:sz="0" w:space="0" w:color="auto"/>
            <w:right w:val="none" w:sz="0" w:space="0" w:color="auto"/>
          </w:divBdr>
        </w:div>
        <w:div w:id="1639646611">
          <w:marLeft w:val="0"/>
          <w:marRight w:val="0"/>
          <w:marTop w:val="0"/>
          <w:marBottom w:val="0"/>
          <w:divBdr>
            <w:top w:val="none" w:sz="0" w:space="0" w:color="auto"/>
            <w:left w:val="none" w:sz="0" w:space="0" w:color="auto"/>
            <w:bottom w:val="none" w:sz="0" w:space="0" w:color="auto"/>
            <w:right w:val="none" w:sz="0" w:space="0" w:color="auto"/>
          </w:divBdr>
        </w:div>
        <w:div w:id="1464882864">
          <w:marLeft w:val="0"/>
          <w:marRight w:val="0"/>
          <w:marTop w:val="0"/>
          <w:marBottom w:val="0"/>
          <w:divBdr>
            <w:top w:val="none" w:sz="0" w:space="0" w:color="auto"/>
            <w:left w:val="none" w:sz="0" w:space="0" w:color="auto"/>
            <w:bottom w:val="none" w:sz="0" w:space="0" w:color="auto"/>
            <w:right w:val="none" w:sz="0" w:space="0" w:color="auto"/>
          </w:divBdr>
        </w:div>
        <w:div w:id="132704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Orgen</dc:creator>
  <cp:keywords/>
  <dc:description/>
  <cp:lastModifiedBy>Bernadette Orgen</cp:lastModifiedBy>
  <cp:revision>1</cp:revision>
  <dcterms:created xsi:type="dcterms:W3CDTF">2025-04-08T17:09:00Z</dcterms:created>
  <dcterms:modified xsi:type="dcterms:W3CDTF">2025-04-08T17:10:00Z</dcterms:modified>
</cp:coreProperties>
</file>