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41EE" w14:textId="76999A08" w:rsidR="00576380" w:rsidRPr="00576380" w:rsidRDefault="00576380" w:rsidP="00576380">
      <w:pPr>
        <w:jc w:val="center"/>
        <w:rPr>
          <w:sz w:val="28"/>
          <w:szCs w:val="28"/>
        </w:rPr>
      </w:pPr>
      <w:r w:rsidRPr="00576380">
        <w:rPr>
          <w:b/>
          <w:bCs/>
          <w:sz w:val="28"/>
          <w:szCs w:val="28"/>
        </w:rPr>
        <w:t>Evaluating the Effectiveness of Current Regulatory Frameworks in Protecting Public Health</w:t>
      </w:r>
    </w:p>
    <w:p w14:paraId="292314DD" w14:textId="77777777" w:rsidR="00576380" w:rsidRPr="00576380" w:rsidRDefault="00576380" w:rsidP="00576380">
      <w:pPr>
        <w:jc w:val="center"/>
      </w:pPr>
      <w:r w:rsidRPr="00576380">
        <w:rPr>
          <w:b/>
          <w:bCs/>
        </w:rPr>
        <w:t>Institute for Food and Drug Policy</w:t>
      </w:r>
    </w:p>
    <w:p w14:paraId="41E42E1D" w14:textId="77777777" w:rsidR="00576380" w:rsidRPr="00576380" w:rsidRDefault="00576380" w:rsidP="00576380">
      <w:r w:rsidRPr="00576380">
        <w:pict w14:anchorId="5139C8A8">
          <v:rect id="_x0000_i1325" style="width:0;height:1.5pt" o:hralign="center" o:hrstd="t" o:hr="t" fillcolor="#a0a0a0" stroked="f"/>
        </w:pict>
      </w:r>
    </w:p>
    <w:p w14:paraId="69C9E17B" w14:textId="77777777" w:rsidR="00576380" w:rsidRPr="00576380" w:rsidRDefault="00576380" w:rsidP="00576380">
      <w:pPr>
        <w:rPr>
          <w:b/>
          <w:bCs/>
        </w:rPr>
      </w:pPr>
      <w:r w:rsidRPr="00576380">
        <w:rPr>
          <w:b/>
          <w:bCs/>
        </w:rPr>
        <w:t>Executive Summary</w:t>
      </w:r>
    </w:p>
    <w:p w14:paraId="00DC0873" w14:textId="77777777" w:rsidR="00576380" w:rsidRPr="00576380" w:rsidRDefault="00576380" w:rsidP="00576380">
      <w:r w:rsidRPr="00576380">
        <w:t>The Institute for Food and Drug Policy is proud to announce the release of our latest comprehensive study, "Evaluating the Effectiveness of Current Regulatory Frameworks in Protecting Public Health", which critically examines existing drug safety and compliance regulations. As the pharmaceutical landscape continues to evolve with the introduction of new drug therapies, biologics, and innovative treatments, it is essential that regulatory frameworks keep pace to ensure that public health remains protected.</w:t>
      </w:r>
    </w:p>
    <w:p w14:paraId="143CD250" w14:textId="77777777" w:rsidR="00576380" w:rsidRPr="00576380" w:rsidRDefault="00576380" w:rsidP="00576380">
      <w:r w:rsidRPr="00576380">
        <w:t>This report provides an in-depth analysis of how current drug safety regulations are functioning in the context of rapidly advancing drug development and distribution. Drawing upon case studies, comparative policy analysis, stakeholder interviews, and quantitative reviews, the report highlights systemic gaps, identifies opportunities for reform, and offers a comprehensive set of policy recommendations aimed at strengthening public health protections.</w:t>
      </w:r>
    </w:p>
    <w:p w14:paraId="7C5CF2D2" w14:textId="77777777" w:rsidR="00576380" w:rsidRPr="00576380" w:rsidRDefault="00576380" w:rsidP="00576380">
      <w:r w:rsidRPr="00576380">
        <w:pict w14:anchorId="30D3C906">
          <v:rect id="_x0000_i1326" style="width:0;height:1.5pt" o:hralign="center" o:hrstd="t" o:hr="t" fillcolor="#a0a0a0" stroked="f"/>
        </w:pict>
      </w:r>
    </w:p>
    <w:p w14:paraId="14DC4AA1" w14:textId="77777777" w:rsidR="00576380" w:rsidRPr="00576380" w:rsidRDefault="00576380" w:rsidP="00576380">
      <w:pPr>
        <w:rPr>
          <w:b/>
          <w:bCs/>
        </w:rPr>
      </w:pPr>
      <w:r w:rsidRPr="00576380">
        <w:rPr>
          <w:b/>
          <w:bCs/>
        </w:rPr>
        <w:t>Introduction</w:t>
      </w:r>
    </w:p>
    <w:p w14:paraId="6227C6BF" w14:textId="77777777" w:rsidR="00576380" w:rsidRPr="00576380" w:rsidRDefault="00576380" w:rsidP="00576380">
      <w:r w:rsidRPr="00576380">
        <w:t>As pharmaceutical innovation accelerates</w:t>
      </w:r>
      <w:proofErr w:type="gramStart"/>
      <w:r w:rsidRPr="00576380">
        <w:t>, so</w:t>
      </w:r>
      <w:proofErr w:type="gramEnd"/>
      <w:r w:rsidRPr="00576380">
        <w:t xml:space="preserve"> too must the frameworks that govern drug safety and compliance. </w:t>
      </w:r>
      <w:proofErr w:type="gramStart"/>
      <w:r w:rsidRPr="00576380">
        <w:t>The approval of new therapies,</w:t>
      </w:r>
      <w:proofErr w:type="gramEnd"/>
      <w:r w:rsidRPr="00576380">
        <w:t xml:space="preserve"> increased global manufacturing, and evolving technologies demand robust, adaptive, and transparent regulatory oversight. This report explores whether current frameworks meet these demands, focusing particularly on the U.S. Food and Drug Administration (FDA), with comparative insights from the European Medicines Agency (EMA), Health Canada, and others.</w:t>
      </w:r>
    </w:p>
    <w:p w14:paraId="2B00796F" w14:textId="77777777" w:rsidR="00576380" w:rsidRPr="00576380" w:rsidRDefault="00576380" w:rsidP="00576380">
      <w:r w:rsidRPr="00576380">
        <w:pict w14:anchorId="47D3A58C">
          <v:rect id="_x0000_i1327" style="width:0;height:1.5pt" o:hralign="center" o:hrstd="t" o:hr="t" fillcolor="#a0a0a0" stroked="f"/>
        </w:pict>
      </w:r>
    </w:p>
    <w:p w14:paraId="4C3F6E51" w14:textId="77777777" w:rsidR="00576380" w:rsidRPr="00576380" w:rsidRDefault="00576380" w:rsidP="00576380">
      <w:pPr>
        <w:rPr>
          <w:b/>
          <w:bCs/>
        </w:rPr>
      </w:pPr>
      <w:r w:rsidRPr="00576380">
        <w:rPr>
          <w:b/>
          <w:bCs/>
        </w:rPr>
        <w:t>Methodology</w:t>
      </w:r>
    </w:p>
    <w:p w14:paraId="3877EED8" w14:textId="77777777" w:rsidR="00576380" w:rsidRPr="00576380" w:rsidRDefault="00576380" w:rsidP="00576380">
      <w:pPr>
        <w:numPr>
          <w:ilvl w:val="0"/>
          <w:numId w:val="9"/>
        </w:numPr>
      </w:pPr>
      <w:r w:rsidRPr="00576380">
        <w:t>Literature review of regulatory policies (2010-2025)</w:t>
      </w:r>
    </w:p>
    <w:p w14:paraId="6C12B101" w14:textId="77777777" w:rsidR="00576380" w:rsidRPr="00576380" w:rsidRDefault="00576380" w:rsidP="00576380">
      <w:pPr>
        <w:numPr>
          <w:ilvl w:val="0"/>
          <w:numId w:val="9"/>
        </w:numPr>
      </w:pPr>
      <w:r w:rsidRPr="00576380">
        <w:t>Case studies of post-market drug withdrawals</w:t>
      </w:r>
    </w:p>
    <w:p w14:paraId="241D59B8" w14:textId="77777777" w:rsidR="00576380" w:rsidRPr="00576380" w:rsidRDefault="00576380" w:rsidP="00576380">
      <w:pPr>
        <w:numPr>
          <w:ilvl w:val="0"/>
          <w:numId w:val="9"/>
        </w:numPr>
      </w:pPr>
      <w:r w:rsidRPr="00576380">
        <w:t>Interviews with regulatory officials, pharmaceutical companies, healthcare providers, and patient advocacy groups</w:t>
      </w:r>
    </w:p>
    <w:p w14:paraId="1507A01E" w14:textId="77777777" w:rsidR="00576380" w:rsidRPr="00576380" w:rsidRDefault="00576380" w:rsidP="00576380">
      <w:pPr>
        <w:numPr>
          <w:ilvl w:val="0"/>
          <w:numId w:val="9"/>
        </w:numPr>
      </w:pPr>
      <w:r w:rsidRPr="00576380">
        <w:lastRenderedPageBreak/>
        <w:t>Comparative analysis of global regulatory models</w:t>
      </w:r>
    </w:p>
    <w:p w14:paraId="6096622F" w14:textId="77777777" w:rsidR="00576380" w:rsidRPr="00576380" w:rsidRDefault="00576380" w:rsidP="00576380">
      <w:pPr>
        <w:numPr>
          <w:ilvl w:val="0"/>
          <w:numId w:val="9"/>
        </w:numPr>
      </w:pPr>
      <w:r w:rsidRPr="00576380">
        <w:t>Quantitative review of adverse event reporting data and drug recall frequency</w:t>
      </w:r>
    </w:p>
    <w:p w14:paraId="04418343" w14:textId="77777777" w:rsidR="00576380" w:rsidRPr="00576380" w:rsidRDefault="00576380" w:rsidP="00576380">
      <w:r w:rsidRPr="00576380">
        <w:pict w14:anchorId="1D82D8CF">
          <v:rect id="_x0000_i1328" style="width:0;height:1.5pt" o:hralign="center" o:hrstd="t" o:hr="t" fillcolor="#a0a0a0" stroked="f"/>
        </w:pict>
      </w:r>
    </w:p>
    <w:p w14:paraId="6055612D" w14:textId="77777777" w:rsidR="00576380" w:rsidRPr="00576380" w:rsidRDefault="00576380" w:rsidP="00576380">
      <w:pPr>
        <w:rPr>
          <w:b/>
          <w:bCs/>
        </w:rPr>
      </w:pPr>
      <w:r w:rsidRPr="00576380">
        <w:rPr>
          <w:b/>
          <w:bCs/>
        </w:rPr>
        <w:t>Key Focus Areas</w:t>
      </w:r>
    </w:p>
    <w:p w14:paraId="467DF242" w14:textId="77777777" w:rsidR="00576380" w:rsidRPr="00576380" w:rsidRDefault="00576380" w:rsidP="00576380">
      <w:pPr>
        <w:rPr>
          <w:b/>
          <w:bCs/>
        </w:rPr>
      </w:pPr>
      <w:r w:rsidRPr="00576380">
        <w:rPr>
          <w:b/>
          <w:bCs/>
        </w:rPr>
        <w:t>1. Regulatory Gaps and Vulnerabilities</w:t>
      </w:r>
    </w:p>
    <w:p w14:paraId="68C3B1EE" w14:textId="77777777" w:rsidR="00576380" w:rsidRPr="00576380" w:rsidRDefault="00576380" w:rsidP="00576380">
      <w:r w:rsidRPr="00576380">
        <w:t>We identify areas where current drug safety frameworks may be lacking in preventing adverse drug reactions, ensuring transparency, and protecting consumers from unsafe or ineffective drugs. Inconsistencies in post-market surveillance and limited resources for reviewing adverse event reports were highlighted as major concerns. Fast-tracked approvals, while beneficial for innovation, may compromise long-term safety data collection and monitoring.</w:t>
      </w:r>
    </w:p>
    <w:p w14:paraId="368DDD24" w14:textId="77777777" w:rsidR="00576380" w:rsidRPr="00576380" w:rsidRDefault="00576380" w:rsidP="00576380">
      <w:pPr>
        <w:rPr>
          <w:b/>
          <w:bCs/>
        </w:rPr>
      </w:pPr>
      <w:r w:rsidRPr="00576380">
        <w:rPr>
          <w:b/>
          <w:bCs/>
        </w:rPr>
        <w:t>2. Global Regulatory Comparison</w:t>
      </w:r>
    </w:p>
    <w:p w14:paraId="7B697435" w14:textId="77777777" w:rsidR="00576380" w:rsidRPr="00576380" w:rsidRDefault="00576380" w:rsidP="00576380">
      <w:r w:rsidRPr="00576380">
        <w:t xml:space="preserve">The study includes a comparison of drug safety regulations across different regions, assessing the strengths and weaknesses of regulatory bodies like the FDA, EMA, and others. This global perspective highlights the need for harmonization in drug safety standards to facilitate better international cooperation and compliance. Regulatory stringency varies significantly, which results in unequal health </w:t>
      </w:r>
      <w:proofErr w:type="gramStart"/>
      <w:r w:rsidRPr="00576380">
        <w:t>protections</w:t>
      </w:r>
      <w:proofErr w:type="gramEnd"/>
      <w:r w:rsidRPr="00576380">
        <w:t xml:space="preserve"> for global populations.</w:t>
      </w:r>
    </w:p>
    <w:p w14:paraId="179C160F" w14:textId="77777777" w:rsidR="00576380" w:rsidRPr="00576380" w:rsidRDefault="00576380" w:rsidP="00576380">
      <w:pPr>
        <w:rPr>
          <w:b/>
          <w:bCs/>
        </w:rPr>
      </w:pPr>
      <w:r w:rsidRPr="00576380">
        <w:rPr>
          <w:b/>
          <w:bCs/>
        </w:rPr>
        <w:t>3. Real-World Data Integration</w:t>
      </w:r>
    </w:p>
    <w:p w14:paraId="5A06FA37" w14:textId="77777777" w:rsidR="00576380" w:rsidRPr="00576380" w:rsidRDefault="00576380" w:rsidP="00576380">
      <w:r w:rsidRPr="00576380">
        <w:t>Our report emphasizes the importance of integrating real-world data (RWD) and real-world evidence (RWE) into the regulatory process. By leveraging data from healthcare systems, patient reports, and digital health technologies, we explore how regulators can improve post-market surveillance and better monitor drug safety once products are in use. Currently, the use of such data is fragmented and lacks standardized frameworks.</w:t>
      </w:r>
    </w:p>
    <w:p w14:paraId="58B9F5BB" w14:textId="77777777" w:rsidR="00576380" w:rsidRPr="00576380" w:rsidRDefault="00576380" w:rsidP="00576380">
      <w:pPr>
        <w:rPr>
          <w:b/>
          <w:bCs/>
        </w:rPr>
      </w:pPr>
      <w:r w:rsidRPr="00576380">
        <w:rPr>
          <w:b/>
          <w:bCs/>
        </w:rPr>
        <w:t>4. Pharmacovigilance and Risk Management</w:t>
      </w:r>
    </w:p>
    <w:p w14:paraId="7114FA65" w14:textId="77777777" w:rsidR="00576380" w:rsidRPr="00576380" w:rsidRDefault="00576380" w:rsidP="00576380">
      <w:r w:rsidRPr="00576380">
        <w:t>We examine the current pharmacovigilance systems in place and offer recommendations for enhancing adverse drug reaction reporting, risk management protocols, and post-market safety monitoring. Our findings indicate a pressing need for a more proactive, technology-driven approach to pharmacovigilance that supports real-time risk assessment and rapid response to emerging safety issues.</w:t>
      </w:r>
    </w:p>
    <w:p w14:paraId="4CD6F15F" w14:textId="77777777" w:rsidR="00576380" w:rsidRPr="00576380" w:rsidRDefault="00576380" w:rsidP="00576380">
      <w:pPr>
        <w:rPr>
          <w:b/>
          <w:bCs/>
        </w:rPr>
      </w:pPr>
      <w:r w:rsidRPr="00576380">
        <w:rPr>
          <w:b/>
          <w:bCs/>
        </w:rPr>
        <w:t>5. Stakeholder Trust and Transparency</w:t>
      </w:r>
    </w:p>
    <w:p w14:paraId="6CF6ACF0" w14:textId="77777777" w:rsidR="00576380" w:rsidRPr="00576380" w:rsidRDefault="00576380" w:rsidP="00576380">
      <w:r w:rsidRPr="00576380">
        <w:lastRenderedPageBreak/>
        <w:t xml:space="preserve">Public confidence in regulatory institutions is crucial. However, perceived opacity in the approval and monitoring processes </w:t>
      </w:r>
      <w:proofErr w:type="gramStart"/>
      <w:r w:rsidRPr="00576380">
        <w:t>continues</w:t>
      </w:r>
      <w:proofErr w:type="gramEnd"/>
      <w:r w:rsidRPr="00576380">
        <w:t xml:space="preserve"> to undermine trust. Our analysis points to significant communication gaps during drug safety incidents and calls for stronger protocols for public engagement and risk communication.</w:t>
      </w:r>
    </w:p>
    <w:p w14:paraId="4E5574D0" w14:textId="77777777" w:rsidR="00576380" w:rsidRPr="00576380" w:rsidRDefault="00576380" w:rsidP="00576380">
      <w:r w:rsidRPr="00576380">
        <w:pict w14:anchorId="3FC434B9">
          <v:rect id="_x0000_i1329" style="width:0;height:1.5pt" o:hralign="center" o:hrstd="t" o:hr="t" fillcolor="#a0a0a0" stroked="f"/>
        </w:pict>
      </w:r>
    </w:p>
    <w:p w14:paraId="3F6F32B1" w14:textId="77777777" w:rsidR="00576380" w:rsidRPr="00576380" w:rsidRDefault="00576380" w:rsidP="00576380">
      <w:pPr>
        <w:rPr>
          <w:b/>
          <w:bCs/>
        </w:rPr>
      </w:pPr>
      <w:r w:rsidRPr="00576380">
        <w:rPr>
          <w:b/>
          <w:bCs/>
        </w:rPr>
        <w:t>Policy Recommendations</w:t>
      </w:r>
    </w:p>
    <w:p w14:paraId="27F8960E" w14:textId="77777777" w:rsidR="00576380" w:rsidRPr="00576380" w:rsidRDefault="00576380" w:rsidP="00576380">
      <w:pPr>
        <w:numPr>
          <w:ilvl w:val="0"/>
          <w:numId w:val="10"/>
        </w:numPr>
      </w:pPr>
      <w:r w:rsidRPr="00576380">
        <w:rPr>
          <w:b/>
          <w:bCs/>
        </w:rPr>
        <w:t>Modernize Post-Market Surveillance</w:t>
      </w:r>
    </w:p>
    <w:p w14:paraId="06A16431" w14:textId="77777777" w:rsidR="00576380" w:rsidRPr="00576380" w:rsidRDefault="00576380" w:rsidP="00576380">
      <w:pPr>
        <w:numPr>
          <w:ilvl w:val="1"/>
          <w:numId w:val="10"/>
        </w:numPr>
      </w:pPr>
      <w:r w:rsidRPr="00576380">
        <w:t>Expand pharmacovigilance infrastructure.</w:t>
      </w:r>
    </w:p>
    <w:p w14:paraId="788D5BC0" w14:textId="77777777" w:rsidR="00576380" w:rsidRPr="00576380" w:rsidRDefault="00576380" w:rsidP="00576380">
      <w:pPr>
        <w:numPr>
          <w:ilvl w:val="1"/>
          <w:numId w:val="10"/>
        </w:numPr>
      </w:pPr>
      <w:r w:rsidRPr="00576380">
        <w:t>Invest in interoperable data-sharing platforms across regulatory agencies.</w:t>
      </w:r>
    </w:p>
    <w:p w14:paraId="6205DE8B" w14:textId="77777777" w:rsidR="00576380" w:rsidRPr="00576380" w:rsidRDefault="00576380" w:rsidP="00576380">
      <w:pPr>
        <w:numPr>
          <w:ilvl w:val="0"/>
          <w:numId w:val="10"/>
        </w:numPr>
      </w:pPr>
      <w:r w:rsidRPr="00576380">
        <w:rPr>
          <w:b/>
          <w:bCs/>
        </w:rPr>
        <w:t>Enhance Use of RWD/RWE</w:t>
      </w:r>
    </w:p>
    <w:p w14:paraId="163755D6" w14:textId="77777777" w:rsidR="00576380" w:rsidRPr="00576380" w:rsidRDefault="00576380" w:rsidP="00576380">
      <w:pPr>
        <w:numPr>
          <w:ilvl w:val="1"/>
          <w:numId w:val="10"/>
        </w:numPr>
      </w:pPr>
      <w:r w:rsidRPr="00576380">
        <w:t>Establish standardized frameworks for integrating patient data and AI tools.</w:t>
      </w:r>
    </w:p>
    <w:p w14:paraId="63E4B653" w14:textId="77777777" w:rsidR="00576380" w:rsidRPr="00576380" w:rsidRDefault="00576380" w:rsidP="00576380">
      <w:pPr>
        <w:numPr>
          <w:ilvl w:val="1"/>
          <w:numId w:val="10"/>
        </w:numPr>
      </w:pPr>
      <w:r w:rsidRPr="00576380">
        <w:t>Incentivize industry reporting of long-term safety outcomes.</w:t>
      </w:r>
    </w:p>
    <w:p w14:paraId="58338836" w14:textId="77777777" w:rsidR="00576380" w:rsidRPr="00576380" w:rsidRDefault="00576380" w:rsidP="00576380">
      <w:pPr>
        <w:numPr>
          <w:ilvl w:val="0"/>
          <w:numId w:val="10"/>
        </w:numPr>
      </w:pPr>
      <w:r w:rsidRPr="00576380">
        <w:rPr>
          <w:b/>
          <w:bCs/>
        </w:rPr>
        <w:t>Increase Regulatory Resources</w:t>
      </w:r>
    </w:p>
    <w:p w14:paraId="4BFD5556" w14:textId="77777777" w:rsidR="00576380" w:rsidRPr="00576380" w:rsidRDefault="00576380" w:rsidP="00576380">
      <w:pPr>
        <w:numPr>
          <w:ilvl w:val="1"/>
          <w:numId w:val="10"/>
        </w:numPr>
      </w:pPr>
      <w:r w:rsidRPr="00576380">
        <w:t>Provide sustained funding for hiring scientific experts, upgrading review systems, and expanding laboratory capacity.</w:t>
      </w:r>
    </w:p>
    <w:p w14:paraId="50BF964A" w14:textId="77777777" w:rsidR="00576380" w:rsidRPr="00576380" w:rsidRDefault="00576380" w:rsidP="00576380">
      <w:pPr>
        <w:numPr>
          <w:ilvl w:val="0"/>
          <w:numId w:val="10"/>
        </w:numPr>
      </w:pPr>
      <w:r w:rsidRPr="00576380">
        <w:rPr>
          <w:b/>
          <w:bCs/>
        </w:rPr>
        <w:t>Promote Global Regulatory Alignment</w:t>
      </w:r>
    </w:p>
    <w:p w14:paraId="60F56AC0" w14:textId="77777777" w:rsidR="00576380" w:rsidRPr="00576380" w:rsidRDefault="00576380" w:rsidP="00576380">
      <w:pPr>
        <w:numPr>
          <w:ilvl w:val="1"/>
          <w:numId w:val="10"/>
        </w:numPr>
      </w:pPr>
      <w:r w:rsidRPr="00576380">
        <w:t>Engage in international harmonization of safety standards.</w:t>
      </w:r>
    </w:p>
    <w:p w14:paraId="420D27BC" w14:textId="77777777" w:rsidR="00576380" w:rsidRPr="00576380" w:rsidRDefault="00576380" w:rsidP="00576380">
      <w:pPr>
        <w:numPr>
          <w:ilvl w:val="1"/>
          <w:numId w:val="10"/>
        </w:numPr>
      </w:pPr>
      <w:r w:rsidRPr="00576380">
        <w:t>Facilitate cross-border information-sharing agreements for early detection of drug safety signals.</w:t>
      </w:r>
    </w:p>
    <w:p w14:paraId="0DBA24ED" w14:textId="77777777" w:rsidR="00576380" w:rsidRPr="00576380" w:rsidRDefault="00576380" w:rsidP="00576380">
      <w:pPr>
        <w:numPr>
          <w:ilvl w:val="0"/>
          <w:numId w:val="10"/>
        </w:numPr>
      </w:pPr>
      <w:proofErr w:type="gramStart"/>
      <w:r w:rsidRPr="00576380">
        <w:rPr>
          <w:b/>
          <w:bCs/>
        </w:rPr>
        <w:t>Strengthen</w:t>
      </w:r>
      <w:proofErr w:type="gramEnd"/>
      <w:r w:rsidRPr="00576380">
        <w:rPr>
          <w:b/>
          <w:bCs/>
        </w:rPr>
        <w:t xml:space="preserve"> Communication Protocols</w:t>
      </w:r>
    </w:p>
    <w:p w14:paraId="39275278" w14:textId="77777777" w:rsidR="00576380" w:rsidRPr="00576380" w:rsidRDefault="00576380" w:rsidP="00576380">
      <w:pPr>
        <w:numPr>
          <w:ilvl w:val="1"/>
          <w:numId w:val="10"/>
        </w:numPr>
      </w:pPr>
      <w:r w:rsidRPr="00576380">
        <w:t>Require timely, transparent risk communication strategies during recalls and safety alerts.</w:t>
      </w:r>
    </w:p>
    <w:p w14:paraId="34938C2D" w14:textId="77777777" w:rsidR="00576380" w:rsidRPr="00576380" w:rsidRDefault="00576380" w:rsidP="00576380">
      <w:pPr>
        <w:numPr>
          <w:ilvl w:val="1"/>
          <w:numId w:val="10"/>
        </w:numPr>
      </w:pPr>
      <w:r w:rsidRPr="00576380">
        <w:t>Develop educational tools to inform the public and healthcare providers about regulatory processes and decisions.</w:t>
      </w:r>
    </w:p>
    <w:p w14:paraId="1B75783C" w14:textId="77777777" w:rsidR="00576380" w:rsidRPr="00576380" w:rsidRDefault="00576380" w:rsidP="00576380">
      <w:r w:rsidRPr="00576380">
        <w:pict w14:anchorId="65276789">
          <v:rect id="_x0000_i1330" style="width:0;height:1.5pt" o:hralign="center" o:hrstd="t" o:hr="t" fillcolor="#a0a0a0" stroked="f"/>
        </w:pict>
      </w:r>
    </w:p>
    <w:p w14:paraId="04926021" w14:textId="77777777" w:rsidR="00576380" w:rsidRPr="00576380" w:rsidRDefault="00576380" w:rsidP="00576380">
      <w:pPr>
        <w:rPr>
          <w:b/>
          <w:bCs/>
        </w:rPr>
      </w:pPr>
      <w:r w:rsidRPr="00576380">
        <w:rPr>
          <w:b/>
          <w:bCs/>
        </w:rPr>
        <w:t>Conclusion</w:t>
      </w:r>
    </w:p>
    <w:p w14:paraId="7E7E8CA7" w14:textId="77777777" w:rsidR="00576380" w:rsidRPr="00576380" w:rsidRDefault="00576380" w:rsidP="00576380">
      <w:r w:rsidRPr="00576380">
        <w:t xml:space="preserve">The protection of public health hinges on the strength, adaptability, and integrity of drug regulatory systems. While current frameworks have facilitated significant medical progress, there is a clear need for modernization and more proactive oversight. The </w:t>
      </w:r>
      <w:r w:rsidRPr="00576380">
        <w:lastRenderedPageBreak/>
        <w:t>Institute for Food and Drug Policy urges policymakers and regulatory leaders to implement the recommendations outlined in this report to ensure that safety, trust, and transparency remain at the core of pharmaceutical governance.</w:t>
      </w:r>
    </w:p>
    <w:p w14:paraId="3D473F7F" w14:textId="6D0BBE8A" w:rsidR="00C15F94" w:rsidRPr="00576380" w:rsidRDefault="00576380">
      <w:r w:rsidRPr="00576380">
        <w:t>This report is a valuable resource for policymakers, healthcare professionals, pharmaceutical companies, and public health organizations who are committed to improving drug safety and ensuring that consumers have access to safe and effective medications.</w:t>
      </w:r>
    </w:p>
    <w:sectPr w:rsidR="00C15F94" w:rsidRPr="00576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4DAE"/>
    <w:multiLevelType w:val="multilevel"/>
    <w:tmpl w:val="9900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34A7B"/>
    <w:multiLevelType w:val="multilevel"/>
    <w:tmpl w:val="16D0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233CE"/>
    <w:multiLevelType w:val="multilevel"/>
    <w:tmpl w:val="2530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23307"/>
    <w:multiLevelType w:val="multilevel"/>
    <w:tmpl w:val="9FC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B7029"/>
    <w:multiLevelType w:val="multilevel"/>
    <w:tmpl w:val="47F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3052"/>
    <w:multiLevelType w:val="multilevel"/>
    <w:tmpl w:val="CE9267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B2896"/>
    <w:multiLevelType w:val="multilevel"/>
    <w:tmpl w:val="8B303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27F57"/>
    <w:multiLevelType w:val="multilevel"/>
    <w:tmpl w:val="2288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40138"/>
    <w:multiLevelType w:val="multilevel"/>
    <w:tmpl w:val="D4A6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F083B"/>
    <w:multiLevelType w:val="multilevel"/>
    <w:tmpl w:val="E0884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060850">
    <w:abstractNumId w:val="0"/>
  </w:num>
  <w:num w:numId="2" w16cid:durableId="557981182">
    <w:abstractNumId w:val="3"/>
  </w:num>
  <w:num w:numId="3" w16cid:durableId="1455127585">
    <w:abstractNumId w:val="4"/>
  </w:num>
  <w:num w:numId="4" w16cid:durableId="1575629129">
    <w:abstractNumId w:val="2"/>
  </w:num>
  <w:num w:numId="5" w16cid:durableId="1080060631">
    <w:abstractNumId w:val="8"/>
  </w:num>
  <w:num w:numId="6" w16cid:durableId="1655143486">
    <w:abstractNumId w:val="5"/>
  </w:num>
  <w:num w:numId="7" w16cid:durableId="1368094472">
    <w:abstractNumId w:val="1"/>
  </w:num>
  <w:num w:numId="8" w16cid:durableId="1358047689">
    <w:abstractNumId w:val="6"/>
  </w:num>
  <w:num w:numId="9" w16cid:durableId="612783275">
    <w:abstractNumId w:val="7"/>
  </w:num>
  <w:num w:numId="10" w16cid:durableId="1317563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AC"/>
    <w:rsid w:val="000C53E7"/>
    <w:rsid w:val="00146515"/>
    <w:rsid w:val="00393AD7"/>
    <w:rsid w:val="003F35F3"/>
    <w:rsid w:val="00576380"/>
    <w:rsid w:val="00955AAC"/>
    <w:rsid w:val="00C15F94"/>
    <w:rsid w:val="00C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1797"/>
  <w15:chartTrackingRefBased/>
  <w15:docId w15:val="{831BBCE6-6441-4E62-9E1F-21F1F729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AAC"/>
    <w:rPr>
      <w:rFonts w:eastAsiaTheme="majorEastAsia" w:cstheme="majorBidi"/>
      <w:color w:val="272727" w:themeColor="text1" w:themeTint="D8"/>
    </w:rPr>
  </w:style>
  <w:style w:type="paragraph" w:styleId="Title">
    <w:name w:val="Title"/>
    <w:basedOn w:val="Normal"/>
    <w:next w:val="Normal"/>
    <w:link w:val="TitleChar"/>
    <w:uiPriority w:val="10"/>
    <w:qFormat/>
    <w:rsid w:val="00955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AAC"/>
    <w:pPr>
      <w:spacing w:before="160"/>
      <w:jc w:val="center"/>
    </w:pPr>
    <w:rPr>
      <w:i/>
      <w:iCs/>
      <w:color w:val="404040" w:themeColor="text1" w:themeTint="BF"/>
    </w:rPr>
  </w:style>
  <w:style w:type="character" w:customStyle="1" w:styleId="QuoteChar">
    <w:name w:val="Quote Char"/>
    <w:basedOn w:val="DefaultParagraphFont"/>
    <w:link w:val="Quote"/>
    <w:uiPriority w:val="29"/>
    <w:rsid w:val="00955AAC"/>
    <w:rPr>
      <w:i/>
      <w:iCs/>
      <w:color w:val="404040" w:themeColor="text1" w:themeTint="BF"/>
    </w:rPr>
  </w:style>
  <w:style w:type="paragraph" w:styleId="ListParagraph">
    <w:name w:val="List Paragraph"/>
    <w:basedOn w:val="Normal"/>
    <w:uiPriority w:val="34"/>
    <w:qFormat/>
    <w:rsid w:val="00955AAC"/>
    <w:pPr>
      <w:ind w:left="720"/>
      <w:contextualSpacing/>
    </w:pPr>
  </w:style>
  <w:style w:type="character" w:styleId="IntenseEmphasis">
    <w:name w:val="Intense Emphasis"/>
    <w:basedOn w:val="DefaultParagraphFont"/>
    <w:uiPriority w:val="21"/>
    <w:qFormat/>
    <w:rsid w:val="00955AAC"/>
    <w:rPr>
      <w:i/>
      <w:iCs/>
      <w:color w:val="0F4761" w:themeColor="accent1" w:themeShade="BF"/>
    </w:rPr>
  </w:style>
  <w:style w:type="paragraph" w:styleId="IntenseQuote">
    <w:name w:val="Intense Quote"/>
    <w:basedOn w:val="Normal"/>
    <w:next w:val="Normal"/>
    <w:link w:val="IntenseQuoteChar"/>
    <w:uiPriority w:val="30"/>
    <w:qFormat/>
    <w:rsid w:val="00955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AAC"/>
    <w:rPr>
      <w:i/>
      <w:iCs/>
      <w:color w:val="0F4761" w:themeColor="accent1" w:themeShade="BF"/>
    </w:rPr>
  </w:style>
  <w:style w:type="character" w:styleId="IntenseReference">
    <w:name w:val="Intense Reference"/>
    <w:basedOn w:val="DefaultParagraphFont"/>
    <w:uiPriority w:val="32"/>
    <w:qFormat/>
    <w:rsid w:val="00955A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7904">
      <w:bodyDiv w:val="1"/>
      <w:marLeft w:val="0"/>
      <w:marRight w:val="0"/>
      <w:marTop w:val="0"/>
      <w:marBottom w:val="0"/>
      <w:divBdr>
        <w:top w:val="none" w:sz="0" w:space="0" w:color="auto"/>
        <w:left w:val="none" w:sz="0" w:space="0" w:color="auto"/>
        <w:bottom w:val="none" w:sz="0" w:space="0" w:color="auto"/>
        <w:right w:val="none" w:sz="0" w:space="0" w:color="auto"/>
      </w:divBdr>
      <w:divsChild>
        <w:div w:id="1341278936">
          <w:marLeft w:val="0"/>
          <w:marRight w:val="0"/>
          <w:marTop w:val="0"/>
          <w:marBottom w:val="0"/>
          <w:divBdr>
            <w:top w:val="none" w:sz="0" w:space="0" w:color="auto"/>
            <w:left w:val="none" w:sz="0" w:space="0" w:color="auto"/>
            <w:bottom w:val="none" w:sz="0" w:space="0" w:color="auto"/>
            <w:right w:val="none" w:sz="0" w:space="0" w:color="auto"/>
          </w:divBdr>
        </w:div>
        <w:div w:id="1739207217">
          <w:marLeft w:val="0"/>
          <w:marRight w:val="0"/>
          <w:marTop w:val="0"/>
          <w:marBottom w:val="0"/>
          <w:divBdr>
            <w:top w:val="none" w:sz="0" w:space="0" w:color="auto"/>
            <w:left w:val="none" w:sz="0" w:space="0" w:color="auto"/>
            <w:bottom w:val="none" w:sz="0" w:space="0" w:color="auto"/>
            <w:right w:val="none" w:sz="0" w:space="0" w:color="auto"/>
          </w:divBdr>
        </w:div>
        <w:div w:id="710374602">
          <w:marLeft w:val="0"/>
          <w:marRight w:val="0"/>
          <w:marTop w:val="0"/>
          <w:marBottom w:val="0"/>
          <w:divBdr>
            <w:top w:val="none" w:sz="0" w:space="0" w:color="auto"/>
            <w:left w:val="none" w:sz="0" w:space="0" w:color="auto"/>
            <w:bottom w:val="none" w:sz="0" w:space="0" w:color="auto"/>
            <w:right w:val="none" w:sz="0" w:space="0" w:color="auto"/>
          </w:divBdr>
        </w:div>
        <w:div w:id="525757653">
          <w:marLeft w:val="0"/>
          <w:marRight w:val="0"/>
          <w:marTop w:val="0"/>
          <w:marBottom w:val="0"/>
          <w:divBdr>
            <w:top w:val="none" w:sz="0" w:space="0" w:color="auto"/>
            <w:left w:val="none" w:sz="0" w:space="0" w:color="auto"/>
            <w:bottom w:val="none" w:sz="0" w:space="0" w:color="auto"/>
            <w:right w:val="none" w:sz="0" w:space="0" w:color="auto"/>
          </w:divBdr>
        </w:div>
        <w:div w:id="101732887">
          <w:marLeft w:val="0"/>
          <w:marRight w:val="0"/>
          <w:marTop w:val="0"/>
          <w:marBottom w:val="0"/>
          <w:divBdr>
            <w:top w:val="none" w:sz="0" w:space="0" w:color="auto"/>
            <w:left w:val="none" w:sz="0" w:space="0" w:color="auto"/>
            <w:bottom w:val="none" w:sz="0" w:space="0" w:color="auto"/>
            <w:right w:val="none" w:sz="0" w:space="0" w:color="auto"/>
          </w:divBdr>
        </w:div>
        <w:div w:id="654650108">
          <w:marLeft w:val="0"/>
          <w:marRight w:val="0"/>
          <w:marTop w:val="0"/>
          <w:marBottom w:val="0"/>
          <w:divBdr>
            <w:top w:val="none" w:sz="0" w:space="0" w:color="auto"/>
            <w:left w:val="none" w:sz="0" w:space="0" w:color="auto"/>
            <w:bottom w:val="none" w:sz="0" w:space="0" w:color="auto"/>
            <w:right w:val="none" w:sz="0" w:space="0" w:color="auto"/>
          </w:divBdr>
        </w:div>
        <w:div w:id="707729663">
          <w:marLeft w:val="0"/>
          <w:marRight w:val="0"/>
          <w:marTop w:val="0"/>
          <w:marBottom w:val="0"/>
          <w:divBdr>
            <w:top w:val="none" w:sz="0" w:space="0" w:color="auto"/>
            <w:left w:val="none" w:sz="0" w:space="0" w:color="auto"/>
            <w:bottom w:val="none" w:sz="0" w:space="0" w:color="auto"/>
            <w:right w:val="none" w:sz="0" w:space="0" w:color="auto"/>
          </w:divBdr>
        </w:div>
      </w:divsChild>
    </w:div>
    <w:div w:id="285310179">
      <w:bodyDiv w:val="1"/>
      <w:marLeft w:val="0"/>
      <w:marRight w:val="0"/>
      <w:marTop w:val="0"/>
      <w:marBottom w:val="0"/>
      <w:divBdr>
        <w:top w:val="none" w:sz="0" w:space="0" w:color="auto"/>
        <w:left w:val="none" w:sz="0" w:space="0" w:color="auto"/>
        <w:bottom w:val="none" w:sz="0" w:space="0" w:color="auto"/>
        <w:right w:val="none" w:sz="0" w:space="0" w:color="auto"/>
      </w:divBdr>
      <w:divsChild>
        <w:div w:id="1793786831">
          <w:marLeft w:val="0"/>
          <w:marRight w:val="0"/>
          <w:marTop w:val="0"/>
          <w:marBottom w:val="0"/>
          <w:divBdr>
            <w:top w:val="none" w:sz="0" w:space="0" w:color="auto"/>
            <w:left w:val="none" w:sz="0" w:space="0" w:color="auto"/>
            <w:bottom w:val="none" w:sz="0" w:space="0" w:color="auto"/>
            <w:right w:val="none" w:sz="0" w:space="0" w:color="auto"/>
          </w:divBdr>
        </w:div>
        <w:div w:id="501511041">
          <w:marLeft w:val="0"/>
          <w:marRight w:val="0"/>
          <w:marTop w:val="0"/>
          <w:marBottom w:val="0"/>
          <w:divBdr>
            <w:top w:val="none" w:sz="0" w:space="0" w:color="auto"/>
            <w:left w:val="none" w:sz="0" w:space="0" w:color="auto"/>
            <w:bottom w:val="none" w:sz="0" w:space="0" w:color="auto"/>
            <w:right w:val="none" w:sz="0" w:space="0" w:color="auto"/>
          </w:divBdr>
        </w:div>
        <w:div w:id="1485395459">
          <w:marLeft w:val="0"/>
          <w:marRight w:val="0"/>
          <w:marTop w:val="0"/>
          <w:marBottom w:val="0"/>
          <w:divBdr>
            <w:top w:val="none" w:sz="0" w:space="0" w:color="auto"/>
            <w:left w:val="none" w:sz="0" w:space="0" w:color="auto"/>
            <w:bottom w:val="none" w:sz="0" w:space="0" w:color="auto"/>
            <w:right w:val="none" w:sz="0" w:space="0" w:color="auto"/>
          </w:divBdr>
        </w:div>
        <w:div w:id="1249192231">
          <w:marLeft w:val="0"/>
          <w:marRight w:val="0"/>
          <w:marTop w:val="0"/>
          <w:marBottom w:val="0"/>
          <w:divBdr>
            <w:top w:val="none" w:sz="0" w:space="0" w:color="auto"/>
            <w:left w:val="none" w:sz="0" w:space="0" w:color="auto"/>
            <w:bottom w:val="none" w:sz="0" w:space="0" w:color="auto"/>
            <w:right w:val="none" w:sz="0" w:space="0" w:color="auto"/>
          </w:divBdr>
        </w:div>
        <w:div w:id="1470636639">
          <w:marLeft w:val="0"/>
          <w:marRight w:val="0"/>
          <w:marTop w:val="0"/>
          <w:marBottom w:val="0"/>
          <w:divBdr>
            <w:top w:val="none" w:sz="0" w:space="0" w:color="auto"/>
            <w:left w:val="none" w:sz="0" w:space="0" w:color="auto"/>
            <w:bottom w:val="none" w:sz="0" w:space="0" w:color="auto"/>
            <w:right w:val="none" w:sz="0" w:space="0" w:color="auto"/>
          </w:divBdr>
        </w:div>
        <w:div w:id="1731343564">
          <w:marLeft w:val="0"/>
          <w:marRight w:val="0"/>
          <w:marTop w:val="0"/>
          <w:marBottom w:val="0"/>
          <w:divBdr>
            <w:top w:val="none" w:sz="0" w:space="0" w:color="auto"/>
            <w:left w:val="none" w:sz="0" w:space="0" w:color="auto"/>
            <w:bottom w:val="none" w:sz="0" w:space="0" w:color="auto"/>
            <w:right w:val="none" w:sz="0" w:space="0" w:color="auto"/>
          </w:divBdr>
        </w:div>
        <w:div w:id="125704658">
          <w:marLeft w:val="0"/>
          <w:marRight w:val="0"/>
          <w:marTop w:val="0"/>
          <w:marBottom w:val="0"/>
          <w:divBdr>
            <w:top w:val="none" w:sz="0" w:space="0" w:color="auto"/>
            <w:left w:val="none" w:sz="0" w:space="0" w:color="auto"/>
            <w:bottom w:val="none" w:sz="0" w:space="0" w:color="auto"/>
            <w:right w:val="none" w:sz="0" w:space="0" w:color="auto"/>
          </w:divBdr>
        </w:div>
      </w:divsChild>
    </w:div>
    <w:div w:id="437022440">
      <w:bodyDiv w:val="1"/>
      <w:marLeft w:val="0"/>
      <w:marRight w:val="0"/>
      <w:marTop w:val="0"/>
      <w:marBottom w:val="0"/>
      <w:divBdr>
        <w:top w:val="none" w:sz="0" w:space="0" w:color="auto"/>
        <w:left w:val="none" w:sz="0" w:space="0" w:color="auto"/>
        <w:bottom w:val="none" w:sz="0" w:space="0" w:color="auto"/>
        <w:right w:val="none" w:sz="0" w:space="0" w:color="auto"/>
      </w:divBdr>
      <w:divsChild>
        <w:div w:id="1281574963">
          <w:marLeft w:val="0"/>
          <w:marRight w:val="0"/>
          <w:marTop w:val="0"/>
          <w:marBottom w:val="0"/>
          <w:divBdr>
            <w:top w:val="none" w:sz="0" w:space="0" w:color="auto"/>
            <w:left w:val="none" w:sz="0" w:space="0" w:color="auto"/>
            <w:bottom w:val="none" w:sz="0" w:space="0" w:color="auto"/>
            <w:right w:val="none" w:sz="0" w:space="0" w:color="auto"/>
          </w:divBdr>
        </w:div>
        <w:div w:id="1926380971">
          <w:marLeft w:val="0"/>
          <w:marRight w:val="0"/>
          <w:marTop w:val="0"/>
          <w:marBottom w:val="0"/>
          <w:divBdr>
            <w:top w:val="none" w:sz="0" w:space="0" w:color="auto"/>
            <w:left w:val="none" w:sz="0" w:space="0" w:color="auto"/>
            <w:bottom w:val="none" w:sz="0" w:space="0" w:color="auto"/>
            <w:right w:val="none" w:sz="0" w:space="0" w:color="auto"/>
          </w:divBdr>
        </w:div>
        <w:div w:id="179245071">
          <w:marLeft w:val="0"/>
          <w:marRight w:val="0"/>
          <w:marTop w:val="0"/>
          <w:marBottom w:val="0"/>
          <w:divBdr>
            <w:top w:val="none" w:sz="0" w:space="0" w:color="auto"/>
            <w:left w:val="none" w:sz="0" w:space="0" w:color="auto"/>
            <w:bottom w:val="none" w:sz="0" w:space="0" w:color="auto"/>
            <w:right w:val="none" w:sz="0" w:space="0" w:color="auto"/>
          </w:divBdr>
        </w:div>
        <w:div w:id="159857988">
          <w:marLeft w:val="0"/>
          <w:marRight w:val="0"/>
          <w:marTop w:val="0"/>
          <w:marBottom w:val="0"/>
          <w:divBdr>
            <w:top w:val="none" w:sz="0" w:space="0" w:color="auto"/>
            <w:left w:val="none" w:sz="0" w:space="0" w:color="auto"/>
            <w:bottom w:val="none" w:sz="0" w:space="0" w:color="auto"/>
            <w:right w:val="none" w:sz="0" w:space="0" w:color="auto"/>
          </w:divBdr>
        </w:div>
        <w:div w:id="1641769001">
          <w:marLeft w:val="0"/>
          <w:marRight w:val="0"/>
          <w:marTop w:val="0"/>
          <w:marBottom w:val="0"/>
          <w:divBdr>
            <w:top w:val="none" w:sz="0" w:space="0" w:color="auto"/>
            <w:left w:val="none" w:sz="0" w:space="0" w:color="auto"/>
            <w:bottom w:val="none" w:sz="0" w:space="0" w:color="auto"/>
            <w:right w:val="none" w:sz="0" w:space="0" w:color="auto"/>
          </w:divBdr>
        </w:div>
      </w:divsChild>
    </w:div>
    <w:div w:id="642613142">
      <w:bodyDiv w:val="1"/>
      <w:marLeft w:val="0"/>
      <w:marRight w:val="0"/>
      <w:marTop w:val="0"/>
      <w:marBottom w:val="0"/>
      <w:divBdr>
        <w:top w:val="none" w:sz="0" w:space="0" w:color="auto"/>
        <w:left w:val="none" w:sz="0" w:space="0" w:color="auto"/>
        <w:bottom w:val="none" w:sz="0" w:space="0" w:color="auto"/>
        <w:right w:val="none" w:sz="0" w:space="0" w:color="auto"/>
      </w:divBdr>
      <w:divsChild>
        <w:div w:id="2105567332">
          <w:marLeft w:val="0"/>
          <w:marRight w:val="0"/>
          <w:marTop w:val="0"/>
          <w:marBottom w:val="0"/>
          <w:divBdr>
            <w:top w:val="none" w:sz="0" w:space="0" w:color="auto"/>
            <w:left w:val="none" w:sz="0" w:space="0" w:color="auto"/>
            <w:bottom w:val="none" w:sz="0" w:space="0" w:color="auto"/>
            <w:right w:val="none" w:sz="0" w:space="0" w:color="auto"/>
          </w:divBdr>
        </w:div>
        <w:div w:id="1568493954">
          <w:marLeft w:val="0"/>
          <w:marRight w:val="0"/>
          <w:marTop w:val="0"/>
          <w:marBottom w:val="0"/>
          <w:divBdr>
            <w:top w:val="none" w:sz="0" w:space="0" w:color="auto"/>
            <w:left w:val="none" w:sz="0" w:space="0" w:color="auto"/>
            <w:bottom w:val="none" w:sz="0" w:space="0" w:color="auto"/>
            <w:right w:val="none" w:sz="0" w:space="0" w:color="auto"/>
          </w:divBdr>
        </w:div>
        <w:div w:id="1199318480">
          <w:marLeft w:val="0"/>
          <w:marRight w:val="0"/>
          <w:marTop w:val="0"/>
          <w:marBottom w:val="0"/>
          <w:divBdr>
            <w:top w:val="none" w:sz="0" w:space="0" w:color="auto"/>
            <w:left w:val="none" w:sz="0" w:space="0" w:color="auto"/>
            <w:bottom w:val="none" w:sz="0" w:space="0" w:color="auto"/>
            <w:right w:val="none" w:sz="0" w:space="0" w:color="auto"/>
          </w:divBdr>
        </w:div>
        <w:div w:id="814680363">
          <w:marLeft w:val="0"/>
          <w:marRight w:val="0"/>
          <w:marTop w:val="0"/>
          <w:marBottom w:val="0"/>
          <w:divBdr>
            <w:top w:val="none" w:sz="0" w:space="0" w:color="auto"/>
            <w:left w:val="none" w:sz="0" w:space="0" w:color="auto"/>
            <w:bottom w:val="none" w:sz="0" w:space="0" w:color="auto"/>
            <w:right w:val="none" w:sz="0" w:space="0" w:color="auto"/>
          </w:divBdr>
        </w:div>
        <w:div w:id="1452479290">
          <w:marLeft w:val="0"/>
          <w:marRight w:val="0"/>
          <w:marTop w:val="0"/>
          <w:marBottom w:val="0"/>
          <w:divBdr>
            <w:top w:val="none" w:sz="0" w:space="0" w:color="auto"/>
            <w:left w:val="none" w:sz="0" w:space="0" w:color="auto"/>
            <w:bottom w:val="none" w:sz="0" w:space="0" w:color="auto"/>
            <w:right w:val="none" w:sz="0" w:space="0" w:color="auto"/>
          </w:divBdr>
        </w:div>
      </w:divsChild>
    </w:div>
    <w:div w:id="662129216">
      <w:bodyDiv w:val="1"/>
      <w:marLeft w:val="0"/>
      <w:marRight w:val="0"/>
      <w:marTop w:val="0"/>
      <w:marBottom w:val="0"/>
      <w:divBdr>
        <w:top w:val="none" w:sz="0" w:space="0" w:color="auto"/>
        <w:left w:val="none" w:sz="0" w:space="0" w:color="auto"/>
        <w:bottom w:val="none" w:sz="0" w:space="0" w:color="auto"/>
        <w:right w:val="none" w:sz="0" w:space="0" w:color="auto"/>
      </w:divBdr>
      <w:divsChild>
        <w:div w:id="1337614516">
          <w:marLeft w:val="0"/>
          <w:marRight w:val="0"/>
          <w:marTop w:val="0"/>
          <w:marBottom w:val="0"/>
          <w:divBdr>
            <w:top w:val="none" w:sz="0" w:space="0" w:color="auto"/>
            <w:left w:val="none" w:sz="0" w:space="0" w:color="auto"/>
            <w:bottom w:val="none" w:sz="0" w:space="0" w:color="auto"/>
            <w:right w:val="none" w:sz="0" w:space="0" w:color="auto"/>
          </w:divBdr>
        </w:div>
        <w:div w:id="38287543">
          <w:marLeft w:val="0"/>
          <w:marRight w:val="0"/>
          <w:marTop w:val="0"/>
          <w:marBottom w:val="0"/>
          <w:divBdr>
            <w:top w:val="none" w:sz="0" w:space="0" w:color="auto"/>
            <w:left w:val="none" w:sz="0" w:space="0" w:color="auto"/>
            <w:bottom w:val="none" w:sz="0" w:space="0" w:color="auto"/>
            <w:right w:val="none" w:sz="0" w:space="0" w:color="auto"/>
          </w:divBdr>
        </w:div>
        <w:div w:id="916086515">
          <w:marLeft w:val="0"/>
          <w:marRight w:val="0"/>
          <w:marTop w:val="0"/>
          <w:marBottom w:val="0"/>
          <w:divBdr>
            <w:top w:val="none" w:sz="0" w:space="0" w:color="auto"/>
            <w:left w:val="none" w:sz="0" w:space="0" w:color="auto"/>
            <w:bottom w:val="none" w:sz="0" w:space="0" w:color="auto"/>
            <w:right w:val="none" w:sz="0" w:space="0" w:color="auto"/>
          </w:divBdr>
        </w:div>
        <w:div w:id="1146507645">
          <w:marLeft w:val="0"/>
          <w:marRight w:val="0"/>
          <w:marTop w:val="0"/>
          <w:marBottom w:val="0"/>
          <w:divBdr>
            <w:top w:val="none" w:sz="0" w:space="0" w:color="auto"/>
            <w:left w:val="none" w:sz="0" w:space="0" w:color="auto"/>
            <w:bottom w:val="none" w:sz="0" w:space="0" w:color="auto"/>
            <w:right w:val="none" w:sz="0" w:space="0" w:color="auto"/>
          </w:divBdr>
        </w:div>
        <w:div w:id="408620311">
          <w:marLeft w:val="0"/>
          <w:marRight w:val="0"/>
          <w:marTop w:val="0"/>
          <w:marBottom w:val="0"/>
          <w:divBdr>
            <w:top w:val="none" w:sz="0" w:space="0" w:color="auto"/>
            <w:left w:val="none" w:sz="0" w:space="0" w:color="auto"/>
            <w:bottom w:val="none" w:sz="0" w:space="0" w:color="auto"/>
            <w:right w:val="none" w:sz="0" w:space="0" w:color="auto"/>
          </w:divBdr>
        </w:div>
      </w:divsChild>
    </w:div>
    <w:div w:id="709307315">
      <w:bodyDiv w:val="1"/>
      <w:marLeft w:val="0"/>
      <w:marRight w:val="0"/>
      <w:marTop w:val="0"/>
      <w:marBottom w:val="0"/>
      <w:divBdr>
        <w:top w:val="none" w:sz="0" w:space="0" w:color="auto"/>
        <w:left w:val="none" w:sz="0" w:space="0" w:color="auto"/>
        <w:bottom w:val="none" w:sz="0" w:space="0" w:color="auto"/>
        <w:right w:val="none" w:sz="0" w:space="0" w:color="auto"/>
      </w:divBdr>
      <w:divsChild>
        <w:div w:id="1116867480">
          <w:marLeft w:val="0"/>
          <w:marRight w:val="0"/>
          <w:marTop w:val="0"/>
          <w:marBottom w:val="0"/>
          <w:divBdr>
            <w:top w:val="none" w:sz="0" w:space="0" w:color="auto"/>
            <w:left w:val="none" w:sz="0" w:space="0" w:color="auto"/>
            <w:bottom w:val="none" w:sz="0" w:space="0" w:color="auto"/>
            <w:right w:val="none" w:sz="0" w:space="0" w:color="auto"/>
          </w:divBdr>
        </w:div>
        <w:div w:id="1051227896">
          <w:marLeft w:val="0"/>
          <w:marRight w:val="0"/>
          <w:marTop w:val="0"/>
          <w:marBottom w:val="0"/>
          <w:divBdr>
            <w:top w:val="none" w:sz="0" w:space="0" w:color="auto"/>
            <w:left w:val="none" w:sz="0" w:space="0" w:color="auto"/>
            <w:bottom w:val="none" w:sz="0" w:space="0" w:color="auto"/>
            <w:right w:val="none" w:sz="0" w:space="0" w:color="auto"/>
          </w:divBdr>
        </w:div>
        <w:div w:id="1016880247">
          <w:marLeft w:val="0"/>
          <w:marRight w:val="0"/>
          <w:marTop w:val="0"/>
          <w:marBottom w:val="0"/>
          <w:divBdr>
            <w:top w:val="none" w:sz="0" w:space="0" w:color="auto"/>
            <w:left w:val="none" w:sz="0" w:space="0" w:color="auto"/>
            <w:bottom w:val="none" w:sz="0" w:space="0" w:color="auto"/>
            <w:right w:val="none" w:sz="0" w:space="0" w:color="auto"/>
          </w:divBdr>
        </w:div>
        <w:div w:id="1528299863">
          <w:marLeft w:val="0"/>
          <w:marRight w:val="0"/>
          <w:marTop w:val="0"/>
          <w:marBottom w:val="0"/>
          <w:divBdr>
            <w:top w:val="none" w:sz="0" w:space="0" w:color="auto"/>
            <w:left w:val="none" w:sz="0" w:space="0" w:color="auto"/>
            <w:bottom w:val="none" w:sz="0" w:space="0" w:color="auto"/>
            <w:right w:val="none" w:sz="0" w:space="0" w:color="auto"/>
          </w:divBdr>
        </w:div>
        <w:div w:id="792409193">
          <w:marLeft w:val="0"/>
          <w:marRight w:val="0"/>
          <w:marTop w:val="0"/>
          <w:marBottom w:val="0"/>
          <w:divBdr>
            <w:top w:val="none" w:sz="0" w:space="0" w:color="auto"/>
            <w:left w:val="none" w:sz="0" w:space="0" w:color="auto"/>
            <w:bottom w:val="none" w:sz="0" w:space="0" w:color="auto"/>
            <w:right w:val="none" w:sz="0" w:space="0" w:color="auto"/>
          </w:divBdr>
        </w:div>
      </w:divsChild>
    </w:div>
    <w:div w:id="878669292">
      <w:bodyDiv w:val="1"/>
      <w:marLeft w:val="0"/>
      <w:marRight w:val="0"/>
      <w:marTop w:val="0"/>
      <w:marBottom w:val="0"/>
      <w:divBdr>
        <w:top w:val="none" w:sz="0" w:space="0" w:color="auto"/>
        <w:left w:val="none" w:sz="0" w:space="0" w:color="auto"/>
        <w:bottom w:val="none" w:sz="0" w:space="0" w:color="auto"/>
        <w:right w:val="none" w:sz="0" w:space="0" w:color="auto"/>
      </w:divBdr>
      <w:divsChild>
        <w:div w:id="1159733143">
          <w:marLeft w:val="0"/>
          <w:marRight w:val="0"/>
          <w:marTop w:val="0"/>
          <w:marBottom w:val="0"/>
          <w:divBdr>
            <w:top w:val="none" w:sz="0" w:space="0" w:color="auto"/>
            <w:left w:val="none" w:sz="0" w:space="0" w:color="auto"/>
            <w:bottom w:val="none" w:sz="0" w:space="0" w:color="auto"/>
            <w:right w:val="none" w:sz="0" w:space="0" w:color="auto"/>
          </w:divBdr>
        </w:div>
        <w:div w:id="1717923106">
          <w:marLeft w:val="0"/>
          <w:marRight w:val="0"/>
          <w:marTop w:val="0"/>
          <w:marBottom w:val="0"/>
          <w:divBdr>
            <w:top w:val="none" w:sz="0" w:space="0" w:color="auto"/>
            <w:left w:val="none" w:sz="0" w:space="0" w:color="auto"/>
            <w:bottom w:val="none" w:sz="0" w:space="0" w:color="auto"/>
            <w:right w:val="none" w:sz="0" w:space="0" w:color="auto"/>
          </w:divBdr>
        </w:div>
        <w:div w:id="1459495961">
          <w:marLeft w:val="0"/>
          <w:marRight w:val="0"/>
          <w:marTop w:val="0"/>
          <w:marBottom w:val="0"/>
          <w:divBdr>
            <w:top w:val="none" w:sz="0" w:space="0" w:color="auto"/>
            <w:left w:val="none" w:sz="0" w:space="0" w:color="auto"/>
            <w:bottom w:val="none" w:sz="0" w:space="0" w:color="auto"/>
            <w:right w:val="none" w:sz="0" w:space="0" w:color="auto"/>
          </w:divBdr>
        </w:div>
        <w:div w:id="1759060578">
          <w:marLeft w:val="0"/>
          <w:marRight w:val="0"/>
          <w:marTop w:val="0"/>
          <w:marBottom w:val="0"/>
          <w:divBdr>
            <w:top w:val="none" w:sz="0" w:space="0" w:color="auto"/>
            <w:left w:val="none" w:sz="0" w:space="0" w:color="auto"/>
            <w:bottom w:val="none" w:sz="0" w:space="0" w:color="auto"/>
            <w:right w:val="none" w:sz="0" w:space="0" w:color="auto"/>
          </w:divBdr>
        </w:div>
        <w:div w:id="1135685033">
          <w:marLeft w:val="0"/>
          <w:marRight w:val="0"/>
          <w:marTop w:val="0"/>
          <w:marBottom w:val="0"/>
          <w:divBdr>
            <w:top w:val="none" w:sz="0" w:space="0" w:color="auto"/>
            <w:left w:val="none" w:sz="0" w:space="0" w:color="auto"/>
            <w:bottom w:val="none" w:sz="0" w:space="0" w:color="auto"/>
            <w:right w:val="none" w:sz="0" w:space="0" w:color="auto"/>
          </w:divBdr>
        </w:div>
      </w:divsChild>
    </w:div>
    <w:div w:id="1342244261">
      <w:bodyDiv w:val="1"/>
      <w:marLeft w:val="0"/>
      <w:marRight w:val="0"/>
      <w:marTop w:val="0"/>
      <w:marBottom w:val="0"/>
      <w:divBdr>
        <w:top w:val="none" w:sz="0" w:space="0" w:color="auto"/>
        <w:left w:val="none" w:sz="0" w:space="0" w:color="auto"/>
        <w:bottom w:val="none" w:sz="0" w:space="0" w:color="auto"/>
        <w:right w:val="none" w:sz="0" w:space="0" w:color="auto"/>
      </w:divBdr>
      <w:divsChild>
        <w:div w:id="1432582082">
          <w:marLeft w:val="0"/>
          <w:marRight w:val="0"/>
          <w:marTop w:val="0"/>
          <w:marBottom w:val="0"/>
          <w:divBdr>
            <w:top w:val="none" w:sz="0" w:space="0" w:color="auto"/>
            <w:left w:val="none" w:sz="0" w:space="0" w:color="auto"/>
            <w:bottom w:val="none" w:sz="0" w:space="0" w:color="auto"/>
            <w:right w:val="none" w:sz="0" w:space="0" w:color="auto"/>
          </w:divBdr>
        </w:div>
        <w:div w:id="1713339031">
          <w:marLeft w:val="0"/>
          <w:marRight w:val="0"/>
          <w:marTop w:val="0"/>
          <w:marBottom w:val="0"/>
          <w:divBdr>
            <w:top w:val="none" w:sz="0" w:space="0" w:color="auto"/>
            <w:left w:val="none" w:sz="0" w:space="0" w:color="auto"/>
            <w:bottom w:val="none" w:sz="0" w:space="0" w:color="auto"/>
            <w:right w:val="none" w:sz="0" w:space="0" w:color="auto"/>
          </w:divBdr>
        </w:div>
        <w:div w:id="528958902">
          <w:marLeft w:val="0"/>
          <w:marRight w:val="0"/>
          <w:marTop w:val="0"/>
          <w:marBottom w:val="0"/>
          <w:divBdr>
            <w:top w:val="none" w:sz="0" w:space="0" w:color="auto"/>
            <w:left w:val="none" w:sz="0" w:space="0" w:color="auto"/>
            <w:bottom w:val="none" w:sz="0" w:space="0" w:color="auto"/>
            <w:right w:val="none" w:sz="0" w:space="0" w:color="auto"/>
          </w:divBdr>
        </w:div>
        <w:div w:id="1779713732">
          <w:marLeft w:val="0"/>
          <w:marRight w:val="0"/>
          <w:marTop w:val="0"/>
          <w:marBottom w:val="0"/>
          <w:divBdr>
            <w:top w:val="none" w:sz="0" w:space="0" w:color="auto"/>
            <w:left w:val="none" w:sz="0" w:space="0" w:color="auto"/>
            <w:bottom w:val="none" w:sz="0" w:space="0" w:color="auto"/>
            <w:right w:val="none" w:sz="0" w:space="0" w:color="auto"/>
          </w:divBdr>
        </w:div>
        <w:div w:id="1665669235">
          <w:marLeft w:val="0"/>
          <w:marRight w:val="0"/>
          <w:marTop w:val="0"/>
          <w:marBottom w:val="0"/>
          <w:divBdr>
            <w:top w:val="none" w:sz="0" w:space="0" w:color="auto"/>
            <w:left w:val="none" w:sz="0" w:space="0" w:color="auto"/>
            <w:bottom w:val="none" w:sz="0" w:space="0" w:color="auto"/>
            <w:right w:val="none" w:sz="0" w:space="0" w:color="auto"/>
          </w:divBdr>
        </w:div>
        <w:div w:id="1424378017">
          <w:marLeft w:val="0"/>
          <w:marRight w:val="0"/>
          <w:marTop w:val="0"/>
          <w:marBottom w:val="0"/>
          <w:divBdr>
            <w:top w:val="none" w:sz="0" w:space="0" w:color="auto"/>
            <w:left w:val="none" w:sz="0" w:space="0" w:color="auto"/>
            <w:bottom w:val="none" w:sz="0" w:space="0" w:color="auto"/>
            <w:right w:val="none" w:sz="0" w:space="0" w:color="auto"/>
          </w:divBdr>
        </w:div>
        <w:div w:id="1859926325">
          <w:marLeft w:val="0"/>
          <w:marRight w:val="0"/>
          <w:marTop w:val="0"/>
          <w:marBottom w:val="0"/>
          <w:divBdr>
            <w:top w:val="none" w:sz="0" w:space="0" w:color="auto"/>
            <w:left w:val="none" w:sz="0" w:space="0" w:color="auto"/>
            <w:bottom w:val="none" w:sz="0" w:space="0" w:color="auto"/>
            <w:right w:val="none" w:sz="0" w:space="0" w:color="auto"/>
          </w:divBdr>
        </w:div>
      </w:divsChild>
    </w:div>
    <w:div w:id="1510754314">
      <w:bodyDiv w:val="1"/>
      <w:marLeft w:val="0"/>
      <w:marRight w:val="0"/>
      <w:marTop w:val="0"/>
      <w:marBottom w:val="0"/>
      <w:divBdr>
        <w:top w:val="none" w:sz="0" w:space="0" w:color="auto"/>
        <w:left w:val="none" w:sz="0" w:space="0" w:color="auto"/>
        <w:bottom w:val="none" w:sz="0" w:space="0" w:color="auto"/>
        <w:right w:val="none" w:sz="0" w:space="0" w:color="auto"/>
      </w:divBdr>
      <w:divsChild>
        <w:div w:id="809128873">
          <w:marLeft w:val="0"/>
          <w:marRight w:val="0"/>
          <w:marTop w:val="0"/>
          <w:marBottom w:val="0"/>
          <w:divBdr>
            <w:top w:val="none" w:sz="0" w:space="0" w:color="auto"/>
            <w:left w:val="none" w:sz="0" w:space="0" w:color="auto"/>
            <w:bottom w:val="none" w:sz="0" w:space="0" w:color="auto"/>
            <w:right w:val="none" w:sz="0" w:space="0" w:color="auto"/>
          </w:divBdr>
        </w:div>
        <w:div w:id="510805464">
          <w:marLeft w:val="0"/>
          <w:marRight w:val="0"/>
          <w:marTop w:val="0"/>
          <w:marBottom w:val="0"/>
          <w:divBdr>
            <w:top w:val="none" w:sz="0" w:space="0" w:color="auto"/>
            <w:left w:val="none" w:sz="0" w:space="0" w:color="auto"/>
            <w:bottom w:val="none" w:sz="0" w:space="0" w:color="auto"/>
            <w:right w:val="none" w:sz="0" w:space="0" w:color="auto"/>
          </w:divBdr>
        </w:div>
        <w:div w:id="1256940374">
          <w:marLeft w:val="0"/>
          <w:marRight w:val="0"/>
          <w:marTop w:val="0"/>
          <w:marBottom w:val="0"/>
          <w:divBdr>
            <w:top w:val="none" w:sz="0" w:space="0" w:color="auto"/>
            <w:left w:val="none" w:sz="0" w:space="0" w:color="auto"/>
            <w:bottom w:val="none" w:sz="0" w:space="0" w:color="auto"/>
            <w:right w:val="none" w:sz="0" w:space="0" w:color="auto"/>
          </w:divBdr>
        </w:div>
        <w:div w:id="141431818">
          <w:marLeft w:val="0"/>
          <w:marRight w:val="0"/>
          <w:marTop w:val="0"/>
          <w:marBottom w:val="0"/>
          <w:divBdr>
            <w:top w:val="none" w:sz="0" w:space="0" w:color="auto"/>
            <w:left w:val="none" w:sz="0" w:space="0" w:color="auto"/>
            <w:bottom w:val="none" w:sz="0" w:space="0" w:color="auto"/>
            <w:right w:val="none" w:sz="0" w:space="0" w:color="auto"/>
          </w:divBdr>
        </w:div>
        <w:div w:id="1743329230">
          <w:marLeft w:val="0"/>
          <w:marRight w:val="0"/>
          <w:marTop w:val="0"/>
          <w:marBottom w:val="0"/>
          <w:divBdr>
            <w:top w:val="none" w:sz="0" w:space="0" w:color="auto"/>
            <w:left w:val="none" w:sz="0" w:space="0" w:color="auto"/>
            <w:bottom w:val="none" w:sz="0" w:space="0" w:color="auto"/>
            <w:right w:val="none" w:sz="0" w:space="0" w:color="auto"/>
          </w:divBdr>
        </w:div>
      </w:divsChild>
    </w:div>
    <w:div w:id="1876887649">
      <w:bodyDiv w:val="1"/>
      <w:marLeft w:val="0"/>
      <w:marRight w:val="0"/>
      <w:marTop w:val="0"/>
      <w:marBottom w:val="0"/>
      <w:divBdr>
        <w:top w:val="none" w:sz="0" w:space="0" w:color="auto"/>
        <w:left w:val="none" w:sz="0" w:space="0" w:color="auto"/>
        <w:bottom w:val="none" w:sz="0" w:space="0" w:color="auto"/>
        <w:right w:val="none" w:sz="0" w:space="0" w:color="auto"/>
      </w:divBdr>
      <w:divsChild>
        <w:div w:id="775102901">
          <w:marLeft w:val="0"/>
          <w:marRight w:val="0"/>
          <w:marTop w:val="0"/>
          <w:marBottom w:val="0"/>
          <w:divBdr>
            <w:top w:val="none" w:sz="0" w:space="0" w:color="auto"/>
            <w:left w:val="none" w:sz="0" w:space="0" w:color="auto"/>
            <w:bottom w:val="none" w:sz="0" w:space="0" w:color="auto"/>
            <w:right w:val="none" w:sz="0" w:space="0" w:color="auto"/>
          </w:divBdr>
        </w:div>
        <w:div w:id="672538375">
          <w:marLeft w:val="0"/>
          <w:marRight w:val="0"/>
          <w:marTop w:val="0"/>
          <w:marBottom w:val="0"/>
          <w:divBdr>
            <w:top w:val="none" w:sz="0" w:space="0" w:color="auto"/>
            <w:left w:val="none" w:sz="0" w:space="0" w:color="auto"/>
            <w:bottom w:val="none" w:sz="0" w:space="0" w:color="auto"/>
            <w:right w:val="none" w:sz="0" w:space="0" w:color="auto"/>
          </w:divBdr>
        </w:div>
        <w:div w:id="1778065638">
          <w:marLeft w:val="0"/>
          <w:marRight w:val="0"/>
          <w:marTop w:val="0"/>
          <w:marBottom w:val="0"/>
          <w:divBdr>
            <w:top w:val="none" w:sz="0" w:space="0" w:color="auto"/>
            <w:left w:val="none" w:sz="0" w:space="0" w:color="auto"/>
            <w:bottom w:val="none" w:sz="0" w:space="0" w:color="auto"/>
            <w:right w:val="none" w:sz="0" w:space="0" w:color="auto"/>
          </w:divBdr>
        </w:div>
        <w:div w:id="1539053003">
          <w:marLeft w:val="0"/>
          <w:marRight w:val="0"/>
          <w:marTop w:val="0"/>
          <w:marBottom w:val="0"/>
          <w:divBdr>
            <w:top w:val="none" w:sz="0" w:space="0" w:color="auto"/>
            <w:left w:val="none" w:sz="0" w:space="0" w:color="auto"/>
            <w:bottom w:val="none" w:sz="0" w:space="0" w:color="auto"/>
            <w:right w:val="none" w:sz="0" w:space="0" w:color="auto"/>
          </w:divBdr>
        </w:div>
        <w:div w:id="276496859">
          <w:marLeft w:val="0"/>
          <w:marRight w:val="0"/>
          <w:marTop w:val="0"/>
          <w:marBottom w:val="0"/>
          <w:divBdr>
            <w:top w:val="none" w:sz="0" w:space="0" w:color="auto"/>
            <w:left w:val="none" w:sz="0" w:space="0" w:color="auto"/>
            <w:bottom w:val="none" w:sz="0" w:space="0" w:color="auto"/>
            <w:right w:val="none" w:sz="0" w:space="0" w:color="auto"/>
          </w:divBdr>
        </w:div>
        <w:div w:id="1401247670">
          <w:marLeft w:val="0"/>
          <w:marRight w:val="0"/>
          <w:marTop w:val="0"/>
          <w:marBottom w:val="0"/>
          <w:divBdr>
            <w:top w:val="none" w:sz="0" w:space="0" w:color="auto"/>
            <w:left w:val="none" w:sz="0" w:space="0" w:color="auto"/>
            <w:bottom w:val="none" w:sz="0" w:space="0" w:color="auto"/>
            <w:right w:val="none" w:sz="0" w:space="0" w:color="auto"/>
          </w:divBdr>
        </w:div>
        <w:div w:id="201059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Orgen</dc:creator>
  <cp:keywords/>
  <dc:description/>
  <cp:lastModifiedBy>Bernadette Orgen</cp:lastModifiedBy>
  <cp:revision>2</cp:revision>
  <dcterms:created xsi:type="dcterms:W3CDTF">2025-04-08T16:56:00Z</dcterms:created>
  <dcterms:modified xsi:type="dcterms:W3CDTF">2025-04-08T17:05:00Z</dcterms:modified>
</cp:coreProperties>
</file>