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jc w:val="center"/>
      </w:pPr>
      <w:r>
        <w:rPr>
          <w:b w:val="false"/>
          <w:bCs w:val="false"/>
          <w:i/>
          <w:iCs/>
          <w:color w:val="595959"/>
          <w:sz w:val="20"/>
          <w:szCs w:val="20"/>
        </w:rPr>
        <w:t xml:space="preserve">PREVENTICA S.A.S.  ·  Servicios en Seguridad y Salud en el Trabajo</w:t>
      </w:r>
    </w:p>
    <w:p>
      <w:pPr>
        <w:pBdr>
          <w:bottom w:val="single" w:color="1B3A4B" w:sz="10"/>
        </w:pBdr>
        <w:spacing w:after="200"/>
      </w:pPr>
      <w:r>
        <w:t xml:space="preserve"/>
      </w:r>
    </w:p>
    <w:p>
      <w:pPr>
        <w:spacing w:after="60"/>
        <w:jc w:val="center"/>
      </w:pPr>
      <w:r>
        <w:rPr>
          <w:b/>
          <w:bCs/>
          <w:i w:val="false"/>
          <w:iCs w:val="false"/>
          <w:color w:val="1B3A4B"/>
          <w:sz w:val="32"/>
          <w:szCs w:val="32"/>
        </w:rPr>
        <w:t xml:space="preserve">REGISTRO DE TRAZABILIDAD</w:t>
      </w:r>
    </w:p>
    <w:p>
      <w:pPr>
        <w:spacing w:after="60"/>
        <w:jc w:val="center"/>
      </w:pPr>
      <w:r>
        <w:rPr>
          <w:b/>
          <w:bCs/>
          <w:i w:val="false"/>
          <w:iCs w:val="false"/>
          <w:color w:val="2E5F78"/>
          <w:sz w:val="24"/>
          <w:szCs w:val="24"/>
        </w:rPr>
        <w:t xml:space="preserve">Acción de Intervención — Gestión del Cambio</w:t>
      </w:r>
    </w:p>
    <w:p>
      <w:pPr>
        <w:spacing w:after="60"/>
        <w:jc w:val="center"/>
      </w:pPr>
      <w:r>
        <w:rPr>
          <w:b/>
          <w:bCs/>
          <w:i w:val="false"/>
          <w:iCs w:val="false"/>
          <w:color w:val="C25B3D"/>
          <w:sz w:val="21"/>
          <w:szCs w:val="21"/>
        </w:rPr>
        <w:t xml:space="preserve">Actividad (i): Definición de lineamientos y estructura para el manejo del cambio</w:t>
      </w:r>
    </w:p>
    <w:p>
      <w:pPr>
        <w:spacing w:after="40"/>
        <w:jc w:val="center"/>
      </w:pPr>
      <w:r>
        <w:rPr>
          <w:b w:val="false"/>
          <w:bCs w:val="false"/>
          <w:i/>
          <w:iCs/>
          <w:color w:val="595959"/>
          <w:sz w:val="19"/>
          <w:szCs w:val="19"/>
        </w:rPr>
        <w:t xml:space="preserve">Protocolo de acciones de promoción, prevención e intervención de los factores psicosociales y sus efectos en el entorno laboral</w:t>
      </w:r>
    </w:p>
    <w:p>
      <w:pPr>
        <w:spacing w:after="40"/>
        <w:jc w:val="center"/>
      </w:pPr>
      <w:r>
        <w:rPr>
          <w:b w:val="false"/>
          <w:bCs w:val="false"/>
          <w:i/>
          <w:iCs/>
          <w:color w:val="595959"/>
          <w:sz w:val="19"/>
          <w:szCs w:val="19"/>
        </w:rPr>
        <w:t xml:space="preserve">Ministerio del Trabajo de Colombia · Pontificia Universidad Javeriana</w:t>
      </w:r>
    </w:p>
    <w:p>
      <w:pPr>
        <w:pBdr>
          <w:bottom w:val="single" w:color="D0C8B8" w:sz="6"/>
        </w:pBdr>
        <w:spacing w:after="200"/>
      </w:pPr>
      <w:r>
        <w:t xml:space="preserve"/>
      </w:r>
    </w:p>
    <w:p>
      <w:pPr>
        <w:pBdr>
          <w:bottom w:val="single" w:color="2E5F78" w:sz="4"/>
        </w:pBdr>
        <w:spacing w:after="140" w:before="340"/>
      </w:pPr>
      <w:r>
        <w:rPr>
          <w:b/>
          <w:bCs/>
          <w:color w:val="C25B3D"/>
          <w:sz w:val="24"/>
          <w:szCs w:val="24"/>
        </w:rPr>
        <w:t xml:space="preserve">1.  </w:t>
      </w:r>
      <w:r>
        <w:rPr>
          <w:b/>
          <w:bCs/>
          <w:color w:val="1B3A4B"/>
          <w:sz w:val="24"/>
          <w:szCs w:val="24"/>
        </w:rPr>
        <w:t xml:space="preserve">Datos de identificación de la actividad</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2300"/>
        <w:gridCol w:w="2200"/>
        <w:gridCol w:w="2300"/>
      </w:tblGrid>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Empresa:</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Código de proceso / actividad:</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GC-ACT-01</w:t>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NIT:</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Versión del documento:</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1.0</w:t>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SST:</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elaboración:</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Ciudad:</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Fecha de última actualización:</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Período de implementación:</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N.º de trabajadores cubiertos:</w:t>
            </w:r>
          </w:p>
        </w:tc>
        <w:tc>
          <w:tcPr>
            <w:tcW w:type="dxa" w:w="23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
            </w:r>
          </w:p>
        </w:tc>
      </w:tr>
    </w:tbl>
    <w:p>
      <w:pPr>
        <w:spacing w:after="200"/>
      </w:pPr>
      <w:r>
        <w:t xml:space="preserve"/>
      </w:r>
    </w:p>
    <w:p>
      <w:pPr>
        <w:pBdr>
          <w:bottom w:val="single" w:color="2E5F78" w:sz="4"/>
        </w:pBdr>
        <w:spacing w:after="140" w:before="340"/>
      </w:pPr>
      <w:r>
        <w:rPr>
          <w:b/>
          <w:bCs/>
          <w:color w:val="C25B3D"/>
          <w:sz w:val="24"/>
          <w:szCs w:val="24"/>
        </w:rPr>
        <w:t xml:space="preserve">2.  </w:t>
      </w:r>
      <w:r>
        <w:rPr>
          <w:b/>
          <w:bCs/>
          <w:color w:val="1B3A4B"/>
          <w:sz w:val="24"/>
          <w:szCs w:val="24"/>
        </w:rPr>
        <w:t xml:space="preserve">Propósito del documento y base normativa</w:t>
      </w:r>
    </w:p>
    <w:p>
      <w:pPr>
        <w:spacing w:after="140"/>
        <w:jc w:val="both"/>
      </w:pPr>
      <w:r>
        <w:rPr>
          <w:b w:val="false"/>
          <w:bCs w:val="false"/>
          <w:i w:val="false"/>
          <w:iCs w:val="false"/>
          <w:color w:val="2C2C2C"/>
          <w:sz w:val="22"/>
          <w:szCs w:val="22"/>
        </w:rPr>
        <w:t xml:space="preserve">Este documento registra el desarrollo y los resultados de la primera actividad del ciclo PHVA correspondiente a la acción de intervención "Gestión del cambio" (Acción N.° 1 del Protocolo de acciones generales). Su propósito es generar evidencia verificable del cumplimiento de la actividad (i): definición de los lineamientos y la estructura organizacional para el manejo del cambio, según los lineamientos del protocolo oficial del Ministerio del Trabajo de Colombia.</w:t>
      </w:r>
    </w:p>
    <w:p>
      <w:pPr>
        <w:spacing w:after="140"/>
        <w:jc w:val="both"/>
      </w:pPr>
      <w:r>
        <w:rPr>
          <w:b w:val="false"/>
          <w:bCs w:val="false"/>
          <w:i w:val="false"/>
          <w:iCs w:val="false"/>
          <w:color w:val="2C2C2C"/>
          <w:sz w:val="22"/>
          <w:szCs w:val="22"/>
        </w:rPr>
        <w:t xml:space="preserve">El diligenciamiento de este registro permite:</w:t>
      </w:r>
    </w:p>
    <w:p>
      <w:pPr>
        <w:pStyle w:val="ListParagraph"/>
        <w:numPr>
          <w:ilvl w:val="0"/>
          <w:numId w:val="2"/>
        </w:numPr>
        <w:spacing w:after="80"/>
      </w:pPr>
      <w:r>
        <w:rPr>
          <w:color w:val="2C2C2C"/>
          <w:sz w:val="22"/>
          <w:szCs w:val="22"/>
        </w:rPr>
        <w:t xml:space="preserve">Demostrar el cumplimiento del Decreto 1072 de 2015 (artículos 2.2.4.6.15 y 2.2.4.6.21) respecto a la gestión del cambio en el SG-SST.</w:t>
      </w:r>
    </w:p>
    <w:p>
      <w:pPr>
        <w:pStyle w:val="ListParagraph"/>
        <w:numPr>
          <w:ilvl w:val="0"/>
          <w:numId w:val="2"/>
        </w:numPr>
        <w:spacing w:after="80"/>
      </w:pPr>
      <w:r>
        <w:rPr>
          <w:color w:val="2C2C2C"/>
          <w:sz w:val="22"/>
          <w:szCs w:val="22"/>
        </w:rPr>
        <w:t xml:space="preserve">Servir como evidencia ante inspecciones del Ministerio del Trabajo, auditorías del SG-SST o seguimientos de la ARL.</w:t>
      </w:r>
    </w:p>
    <w:p>
      <w:pPr>
        <w:pStyle w:val="ListParagraph"/>
        <w:numPr>
          <w:ilvl w:val="0"/>
          <w:numId w:val="2"/>
        </w:numPr>
        <w:spacing w:after="80"/>
      </w:pPr>
      <w:r>
        <w:rPr>
          <w:color w:val="2C2C2C"/>
          <w:sz w:val="22"/>
          <w:szCs w:val="22"/>
        </w:rPr>
        <w:t xml:space="preserve">Garantizar la trazabilidad de las decisiones tomadas en el proceso de gestión del cambio organizacional.</w:t>
      </w:r>
    </w:p>
    <w:p>
      <w:pPr>
        <w:pStyle w:val="ListParagraph"/>
        <w:numPr>
          <w:ilvl w:val="0"/>
          <w:numId w:val="2"/>
        </w:numPr>
        <w:spacing w:after="80"/>
      </w:pPr>
      <w:r>
        <w:rPr>
          <w:color w:val="2C2C2C"/>
          <w:sz w:val="22"/>
          <w:szCs w:val="22"/>
        </w:rPr>
        <w:t xml:space="preserve">Facilitar la revisión, actualización y mejora continua de la estructura de gestión del cambio definida.</w:t>
      </w:r>
    </w:p>
    <w:p>
      <w:pPr>
        <w:spacing w:after="80"/>
      </w:pPr>
      <w:r>
        <w:t xml:space="preserve"/>
      </w:r>
    </w:p>
    <w:p>
      <w:pPr>
        <w:pBdr>
          <w:bottom w:val="single" w:color="2E5F78" w:sz="4"/>
        </w:pBdr>
        <w:spacing w:after="140" w:before="340"/>
      </w:pPr>
      <w:r>
        <w:rPr>
          <w:b/>
          <w:bCs/>
          <w:color w:val="C25B3D"/>
          <w:sz w:val="24"/>
          <w:szCs w:val="24"/>
        </w:rPr>
        <w:t xml:space="preserve">3.  </w:t>
      </w:r>
      <w:r>
        <w:rPr>
          <w:b/>
          <w:bCs/>
          <w:color w:val="1B3A4B"/>
          <w:sz w:val="24"/>
          <w:szCs w:val="24"/>
        </w:rPr>
        <w:t xml:space="preserve">Conformación del Grupo Líder del Cambio (GLC)</w:t>
      </w:r>
    </w:p>
    <w:p>
      <w:pPr>
        <w:spacing w:after="140"/>
        <w:jc w:val="both"/>
      </w:pPr>
      <w:r>
        <w:rPr>
          <w:b w:val="false"/>
          <w:bCs w:val="false"/>
          <w:i w:val="false"/>
          <w:iCs w:val="false"/>
          <w:color w:val="2C2C2C"/>
          <w:sz w:val="22"/>
          <w:szCs w:val="22"/>
        </w:rPr>
        <w:t xml:space="preserve">De acuerdo con el protocolo, la organización debe designar representantes de las áreas estratégicas como grupo responsable de la gestión del cambio. A continuación se registra la conformación del Grupo Líder del Cambio (GLC) de la empresa:</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200"/>
        <w:gridCol w:w="2600"/>
        <w:gridCol w:w="1800"/>
        <w:gridCol w:w="1200"/>
        <w:gridCol w:w="1200"/>
      </w:tblGrid>
      <w:tr>
        <w:trPr>
          <w:tblHeader/>
        </w:trPr>
        <w:tc>
          <w:tcPr>
            <w:tcW w:type="dxa" w:w="2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Rol en el grupo líder</w:t>
            </w:r>
          </w:p>
        </w:tc>
        <w:tc>
          <w:tcPr>
            <w:tcW w:type="dxa" w:w="2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Nombre completo</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Cargo en la empresa</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Dependencia</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Firma</w:t>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Representante Alta Dirección</w:t>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Gerente / Director de Gestión del Talento Humano</w:t>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de SST</w:t>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Responsable de Gestión de Calidad (si aplica)</w:t>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22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Experto/a en implementación de cambios organizacionales</w:t>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80"/>
      </w:pPr>
      <w:r>
        <w:t xml:space="preserve"/>
      </w:r>
    </w:p>
    <w:p>
      <w:pPr>
        <w:spacing w:after="80"/>
      </w:pPr>
      <w:r>
        <w:rPr>
          <w:b/>
          <w:bCs/>
          <w:color w:val="1B3A4B"/>
          <w:sz w:val="20"/>
          <w:szCs w:val="20"/>
        </w:rPr>
        <w:t xml:space="preserve">Fecha de conformación del GLC: </w:t>
      </w:r>
      <w:r>
        <w:rPr>
          <w:color w:val="595959"/>
          <w:sz w:val="20"/>
          <w:szCs w:val="20"/>
        </w:rPr>
        <w:t xml:space="preserve">________________________________________</w:t>
      </w:r>
    </w:p>
    <w:p>
      <w:pPr>
        <w:spacing w:after="160"/>
      </w:pPr>
      <w:r>
        <w:rPr>
          <w:b/>
          <w:bCs/>
          <w:color w:val="1B3A4B"/>
          <w:sz w:val="20"/>
          <w:szCs w:val="20"/>
        </w:rPr>
        <w:t xml:space="preserve">Acto administrativo o comunicado de designación (referencia): </w:t>
      </w:r>
      <w:r>
        <w:rPr>
          <w:color w:val="595959"/>
          <w:sz w:val="20"/>
          <w:szCs w:val="20"/>
        </w:rPr>
        <w:t xml:space="preserve">___________________________</w:t>
      </w:r>
    </w:p>
    <w:p>
      <w:pPr>
        <w:pBdr>
          <w:bottom w:val="single" w:color="2E5F78" w:sz="4"/>
        </w:pBdr>
        <w:spacing w:after="140" w:before="340"/>
      </w:pPr>
      <w:r>
        <w:rPr>
          <w:b/>
          <w:bCs/>
          <w:color w:val="C25B3D"/>
          <w:sz w:val="24"/>
          <w:szCs w:val="24"/>
        </w:rPr>
        <w:t xml:space="preserve">4.  </w:t>
      </w:r>
      <w:r>
        <w:rPr>
          <w:b/>
          <w:bCs/>
          <w:color w:val="1B3A4B"/>
          <w:sz w:val="24"/>
          <w:szCs w:val="24"/>
        </w:rPr>
        <w:t xml:space="preserve">Definición del concepto de cambio adoptado por la organización</w:t>
      </w:r>
    </w:p>
    <w:p>
      <w:pPr>
        <w:spacing w:after="140"/>
        <w:jc w:val="both"/>
      </w:pPr>
      <w:r>
        <w:rPr>
          <w:b w:val="false"/>
          <w:bCs w:val="false"/>
          <w:i w:val="false"/>
          <w:iCs w:val="false"/>
          <w:color w:val="2C2C2C"/>
          <w:sz w:val="22"/>
          <w:szCs w:val="22"/>
        </w:rPr>
        <w:t xml:space="preserve">El Grupo Líder del Cambio, considerando los factores internos y externos que inciden en la dinámica organizacional, adopta la siguiente definición de "cambio" para los efectos del presente protocolo:</w:t>
      </w:r>
    </w:p>
    <w:p>
      <w:pPr>
        <w:spacing w:after="6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20"/>
                <w:szCs w:val="20"/>
              </w:rPr>
              <w:t xml:space="preserve">Definición de cambio organizacional adoptada por la empresa:</w:t>
            </w:r>
          </w:p>
        </w:tc>
      </w:tr>
      <w:tr>
        <w:tc>
          <w:tcPr>
            <w:tcW w:type="dxa" w:w="9000"/>
            <w:tcBorders>
              <w:top w:val="single" w:color="D0C8B8" w:sz="4"/>
              <w:left w:val="single" w:color="D0C8B8" w:sz="4"/>
              <w:bottom w:val="single" w:color="D0C8B8" w:sz="4"/>
              <w:right w:val="single" w:color="D0C8B8" w:sz="4"/>
            </w:tcBorders>
            <w:shd w:fill="FFFFFF" w:val="clear"/>
            <w:tcMar>
              <w:top w:type="dxa" w:w="120"/>
              <w:left w:type="dxa" w:w="160"/>
              <w:bottom w:type="dxa" w:w="120"/>
              <w:right w:type="dxa" w:w="160"/>
            </w:tcMar>
          </w:tcPr>
          <w:p>
            <w:pPr>
              <w:spacing w:after="160"/>
            </w:pPr>
            <w:r>
              <w:t xml:space="preserve"/>
            </w:r>
          </w:p>
          <w:p>
            <w:pPr>
              <w:spacing w:after="160"/>
            </w:pPr>
            <w:r>
              <w:t xml:space="preserve"/>
            </w:r>
          </w:p>
          <w:p>
            <w:pPr>
              <w:spacing w:after="160"/>
            </w:pPr>
            <w:r>
              <w:t xml:space="preserve"/>
            </w:r>
          </w:p>
          <w:p>
            <w:pPr>
              <w:spacing w:after="160"/>
              <w:jc w:val="left"/>
            </w:pPr>
            <w:r>
              <w:rPr>
                <w:i/>
                <w:iCs/>
                <w:color w:val="595959"/>
                <w:sz w:val="19"/>
                <w:szCs w:val="19"/>
              </w:rPr>
              <w:t xml:space="preserve">(Redactar aquí la definición acordada por el GLC)</w:t>
            </w:r>
          </w:p>
          <w:p>
            <w:pPr>
              <w:spacing w:after="80"/>
            </w:pPr>
            <w:r>
              <w:t xml:space="preserve"/>
            </w:r>
          </w:p>
        </w:tc>
      </w:tr>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20"/>
                <w:szCs w:val="20"/>
              </w:rPr>
              <w:t xml:space="preserve">Factores internos considerados en la definición:</w:t>
            </w:r>
          </w:p>
        </w:tc>
      </w:tr>
      <w:tr>
        <w:tc>
          <w:tcPr>
            <w:tcW w:type="dxa" w:w="9000"/>
            <w:tcBorders>
              <w:top w:val="single" w:color="D0C8B8" w:sz="4"/>
              <w:left w:val="single" w:color="D0C8B8" w:sz="4"/>
              <w:bottom w:val="single" w:color="D0C8B8" w:sz="4"/>
              <w:right w:val="single" w:color="D0C8B8" w:sz="4"/>
            </w:tcBorders>
            <w:shd w:fill="F8F5EF" w:val="clear"/>
            <w:tcMar>
              <w:top w:type="dxa" w:w="100"/>
              <w:left w:type="dxa" w:w="160"/>
              <w:bottom w:type="dxa" w:w="100"/>
              <w:right w:type="dxa" w:w="160"/>
            </w:tcMar>
          </w:tcPr>
          <w:p>
            <w:pPr>
              <w:spacing w:after="160"/>
            </w:pPr>
            <w:r>
              <w:t xml:space="preserve"/>
            </w:r>
          </w:p>
          <w:p>
            <w:pPr>
              <w:spacing w:after="160"/>
            </w:pPr>
            <w:r>
              <w:t xml:space="preserve"/>
            </w:r>
          </w:p>
        </w:tc>
      </w:tr>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20"/>
                <w:szCs w:val="20"/>
              </w:rPr>
              <w:t xml:space="preserve">Factores externos considerados en la definición:</w:t>
            </w:r>
          </w:p>
        </w:tc>
      </w:tr>
      <w:tr>
        <w:tc>
          <w:tcPr>
            <w:tcW w:type="dxa" w:w="9000"/>
            <w:tcBorders>
              <w:top w:val="single" w:color="D0C8B8" w:sz="4"/>
              <w:left w:val="single" w:color="D0C8B8" w:sz="4"/>
              <w:bottom w:val="single" w:color="D0C8B8" w:sz="4"/>
              <w:right w:val="single" w:color="D0C8B8" w:sz="4"/>
            </w:tcBorders>
            <w:shd w:fill="F8F5EF" w:val="clear"/>
            <w:tcMar>
              <w:top w:type="dxa" w:w="100"/>
              <w:left w:type="dxa" w:w="160"/>
              <w:bottom w:type="dxa" w:w="100"/>
              <w:right w:type="dxa" w:w="160"/>
            </w:tcMar>
          </w:tcPr>
          <w:p>
            <w:pPr>
              <w:spacing w:after="160"/>
            </w:pPr>
            <w:r>
              <w:t xml:space="preserve"/>
            </w:r>
          </w:p>
          <w:p>
            <w:pPr>
              <w:spacing w:after="160"/>
            </w:pPr>
            <w:r>
              <w:t xml:space="preserve"/>
            </w:r>
          </w:p>
        </w:tc>
      </w:tr>
    </w:tbl>
    <w:p>
      <w:pPr>
        <w:spacing w:after="200"/>
      </w:pPr>
      <w:r>
        <w:t xml:space="preserve"/>
      </w:r>
    </w:p>
    <w:p>
      <w:pPr>
        <w:pBdr>
          <w:bottom w:val="single" w:color="2E5F78" w:sz="4"/>
        </w:pBdr>
        <w:spacing w:after="140" w:before="340"/>
      </w:pPr>
      <w:r>
        <w:rPr>
          <w:b/>
          <w:bCs/>
          <w:color w:val="C25B3D"/>
          <w:sz w:val="24"/>
          <w:szCs w:val="24"/>
        </w:rPr>
        <w:t xml:space="preserve">5.  </w:t>
      </w:r>
      <w:r>
        <w:rPr>
          <w:b/>
          <w:bCs/>
          <w:color w:val="1B3A4B"/>
          <w:sz w:val="24"/>
          <w:szCs w:val="24"/>
        </w:rPr>
        <w:t xml:space="preserve">Criterios para la identificación y valoración de cambios relevantes</w:t>
      </w:r>
    </w:p>
    <w:p>
      <w:pPr>
        <w:spacing w:after="140"/>
        <w:jc w:val="both"/>
      </w:pPr>
      <w:r>
        <w:rPr>
          <w:b w:val="false"/>
          <w:bCs w:val="false"/>
          <w:i w:val="false"/>
          <w:iCs w:val="false"/>
          <w:color w:val="2C2C2C"/>
          <w:sz w:val="22"/>
          <w:szCs w:val="22"/>
        </w:rPr>
        <w:t xml:space="preserve">La siguiente tabla recoge los criterios orientativos establecidos en el protocolo para determinar la magnitud de un cambio y la prioridad de respuesta. El GLC debe calificar cada criterio (Alto / Medio / Bajo) para cada cambio que se identifique, y consignar observaciones que fundamenten la valoración.</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400"/>
        <w:gridCol w:w="1300"/>
        <w:gridCol w:w="1300"/>
        <w:gridCol w:w="1300"/>
        <w:gridCol w:w="1700"/>
      </w:tblGrid>
      <w:tr>
        <w:trPr>
          <w:tblHeader/>
        </w:trPr>
        <w:tc>
          <w:tcPr>
            <w:tcW w:type="dxa" w:w="3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Criterio para definir la magnitud del cambio</w:t>
            </w:r>
          </w:p>
        </w:tc>
        <w:tc>
          <w:tcPr>
            <w:tcW w:type="dxa" w:w="1300"/>
            <w:tcBorders>
              <w:top w:val="single" w:color="D0C8B8" w:sz="4"/>
              <w:left w:val="single" w:color="D0C8B8" w:sz="4"/>
              <w:bottom w:val="single" w:color="D0C8B8" w:sz="4"/>
              <w:right w:val="single" w:color="D0C8B8" w:sz="4"/>
            </w:tcBorders>
            <w:shd w:fill="8B2000" w:val="clear"/>
            <w:tcMar>
              <w:top w:type="dxa" w:w="100"/>
              <w:left w:type="dxa" w:w="140"/>
              <w:bottom w:type="dxa" w:w="100"/>
              <w:right w:type="dxa" w:w="140"/>
            </w:tcMar>
            <w:vAlign w:val="center"/>
          </w:tcPr>
          <w:p>
            <w:pPr>
              <w:spacing w:after="0"/>
              <w:jc w:val="center"/>
            </w:pPr>
            <w:r>
              <w:rPr>
                <w:b/>
                <w:bCs/>
                <w:color w:val="FFFFFF"/>
                <w:sz w:val="20"/>
                <w:szCs w:val="20"/>
              </w:rPr>
              <w:t xml:space="preserve">Alto</w:t>
            </w:r>
          </w:p>
        </w:tc>
        <w:tc>
          <w:tcPr>
            <w:tcW w:type="dxa" w:w="1300"/>
            <w:tcBorders>
              <w:top w:val="single" w:color="D0C8B8" w:sz="4"/>
              <w:left w:val="single" w:color="D0C8B8" w:sz="4"/>
              <w:bottom w:val="single" w:color="D0C8B8" w:sz="4"/>
              <w:right w:val="single" w:color="D0C8B8" w:sz="4"/>
            </w:tcBorders>
            <w:shd w:fill="B05A00" w:val="clear"/>
            <w:tcMar>
              <w:top w:type="dxa" w:w="100"/>
              <w:left w:type="dxa" w:w="140"/>
              <w:bottom w:type="dxa" w:w="100"/>
              <w:right w:type="dxa" w:w="140"/>
            </w:tcMar>
            <w:vAlign w:val="center"/>
          </w:tcPr>
          <w:p>
            <w:pPr>
              <w:spacing w:after="0"/>
              <w:jc w:val="center"/>
            </w:pPr>
            <w:r>
              <w:rPr>
                <w:b/>
                <w:bCs/>
                <w:color w:val="FFFFFF"/>
                <w:sz w:val="20"/>
                <w:szCs w:val="20"/>
              </w:rPr>
              <w:t xml:space="preserve">Medio</w:t>
            </w:r>
          </w:p>
        </w:tc>
        <w:tc>
          <w:tcPr>
            <w:tcW w:type="dxa" w:w="1300"/>
            <w:tcBorders>
              <w:top w:val="single" w:color="D0C8B8" w:sz="4"/>
              <w:left w:val="single" w:color="D0C8B8" w:sz="4"/>
              <w:bottom w:val="single" w:color="D0C8B8" w:sz="4"/>
              <w:right w:val="single" w:color="D0C8B8" w:sz="4"/>
            </w:tcBorders>
            <w:shd w:fill="3B7A3D" w:val="clear"/>
            <w:tcMar>
              <w:top w:type="dxa" w:w="100"/>
              <w:left w:type="dxa" w:w="140"/>
              <w:bottom w:type="dxa" w:w="100"/>
              <w:right w:type="dxa" w:w="140"/>
            </w:tcMar>
            <w:vAlign w:val="center"/>
          </w:tcPr>
          <w:p>
            <w:pPr>
              <w:spacing w:after="0"/>
              <w:jc w:val="center"/>
            </w:pPr>
            <w:r>
              <w:rPr>
                <w:b/>
                <w:bCs/>
                <w:color w:val="FFFFFF"/>
                <w:sz w:val="20"/>
                <w:szCs w:val="20"/>
              </w:rPr>
              <w:t xml:space="preserve">Bajo</w:t>
            </w:r>
          </w:p>
        </w:tc>
        <w:tc>
          <w:tcPr>
            <w:tcW w:type="dxa" w:w="17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Observaciones / descripción</w:t>
            </w:r>
          </w:p>
        </w:tc>
      </w:tr>
      <w:tr>
        <w:tc>
          <w:tcPr>
            <w:tcW w:type="dxa" w:w="3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Instancias o condiciones impactadas (formas de trabajo, recursos, tiempos, tecnología, personas, productos, etc.)</w:t>
            </w:r>
          </w:p>
        </w:tc>
        <w:tc>
          <w:tcPr>
            <w:tcW w:type="dxa" w:w="13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Permanencia o temporalidad del cambio</w:t>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Riesgos identificados asociados al cambio</w:t>
            </w:r>
          </w:p>
        </w:tc>
        <w:tc>
          <w:tcPr>
            <w:tcW w:type="dxa" w:w="13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Necesidades de ajuste de procedimientos y/o formación del personal</w:t>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Impacto en clientes o usuarios del proceso</w:t>
            </w:r>
          </w:p>
        </w:tc>
        <w:tc>
          <w:tcPr>
            <w:tcW w:type="dxa" w:w="13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Costos estimados del cambio</w:t>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Otros criterios relevantes de la organización:</w:t>
            </w:r>
          </w:p>
        </w:tc>
        <w:tc>
          <w:tcPr>
            <w:tcW w:type="dxa" w:w="13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3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7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160"/>
      </w:pPr>
      <w:r>
        <w:t xml:space="preserve"/>
      </w:r>
    </w:p>
    <w:p>
      <w:pPr>
        <w:spacing w:after="80"/>
      </w:pPr>
      <w:r>
        <w:rPr>
          <w:b/>
          <w:bCs/>
          <w:color w:val="C25B3D"/>
          <w:sz w:val="20"/>
          <w:szCs w:val="20"/>
        </w:rPr>
        <w:t xml:space="preserve">Instrucción de uso: </w:t>
      </w:r>
      <w:r>
        <w:rPr>
          <w:color w:val="595959"/>
          <w:sz w:val="20"/>
          <w:szCs w:val="20"/>
        </w:rPr>
        <w:t xml:space="preserve">Para cada cambio relevante identificado en la organización, diligenciar una fila de esta tabla marcando con una </w:t>
      </w:r>
      <w:r>
        <w:rPr>
          <w:b/>
          <w:bCs/>
          <w:color w:val="2C2C2C"/>
          <w:sz w:val="20"/>
          <w:szCs w:val="20"/>
        </w:rPr>
        <w:t xml:space="preserve">X</w:t>
      </w:r>
      <w:r>
        <w:rPr>
          <w:color w:val="595959"/>
          <w:sz w:val="20"/>
          <w:szCs w:val="20"/>
        </w:rPr>
        <w:t xml:space="preserve"> en la columna de magnitud (Alto / Medio / Bajo) y registrando la observación correspondiente. La valoración global del cambio corresponde al criterio de mayor magnitud obtenido.</w:t>
      </w:r>
    </w:p>
    <w:p>
      <w:pPr>
        <w:spacing w:after="160"/>
      </w:pPr>
      <w:r>
        <w:t xml:space="preserve"/>
      </w:r>
    </w:p>
    <w:p>
      <w:pPr>
        <w:pBdr>
          <w:bottom w:val="single" w:color="2E5F78" w:sz="4"/>
        </w:pBdr>
        <w:spacing w:after="140" w:before="340"/>
      </w:pPr>
      <w:r>
        <w:rPr>
          <w:b/>
          <w:bCs/>
          <w:color w:val="C25B3D"/>
          <w:sz w:val="24"/>
          <w:szCs w:val="24"/>
        </w:rPr>
        <w:t xml:space="preserve">6.  </w:t>
      </w:r>
      <w:r>
        <w:rPr>
          <w:b/>
          <w:bCs/>
          <w:color w:val="1B3A4B"/>
          <w:sz w:val="24"/>
          <w:szCs w:val="24"/>
        </w:rPr>
        <w:t xml:space="preserve">Estructura para la toma de decisiones frente al cambio</w:t>
      </w:r>
    </w:p>
    <w:p>
      <w:pPr>
        <w:spacing w:after="140"/>
        <w:jc w:val="both"/>
      </w:pPr>
      <w:r>
        <w:rPr>
          <w:b w:val="false"/>
          <w:bCs w:val="false"/>
          <w:i w:val="false"/>
          <w:iCs w:val="false"/>
          <w:color w:val="2C2C2C"/>
          <w:sz w:val="22"/>
          <w:szCs w:val="22"/>
        </w:rPr>
        <w:t xml:space="preserve">El Grupo Líder del Cambio define la siguiente estructura ágil de decisión según la magnitud del cambio identificado, garantizando que cada transformación organizacional cuente con la instancia de aprobación adecuada y un canal de comunicación definido hacia los equipos afectados:</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1600"/>
        <w:gridCol w:w="2000"/>
        <w:gridCol w:w="1800"/>
        <w:gridCol w:w="1800"/>
        <w:gridCol w:w="1800"/>
      </w:tblGrid>
      <w:tr>
        <w:trPr>
          <w:tblHeader/>
        </w:trPr>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Magnitud del cambio</w:t>
            </w:r>
          </w:p>
        </w:tc>
        <w:tc>
          <w:tcPr>
            <w:tcW w:type="dxa" w:w="2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Descripción orientativa</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Instancia que aprueba la decisión</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Plazo máximo para decidir</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Mecanismo de comunicación al equipo</w:t>
            </w:r>
          </w:p>
        </w:tc>
      </w:tr>
      <w:tr>
        <w:tc>
          <w:tcPr>
            <w:tcW w:type="dxa" w:w="16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center"/>
          </w:tcPr>
          <w:p>
            <w:pPr>
              <w:spacing w:after="0"/>
              <w:jc w:val="center"/>
            </w:pPr>
            <w:r>
              <w:rPr>
                <w:b/>
                <w:bCs/>
                <w:i w:val="false"/>
                <w:iCs w:val="false"/>
                <w:color w:val="8B2000"/>
                <w:sz w:val="20"/>
                <w:szCs w:val="20"/>
              </w:rPr>
              <w:t xml:space="preserve">Alto</w:t>
            </w:r>
          </w:p>
        </w:tc>
        <w:tc>
          <w:tcPr>
            <w:tcW w:type="dxa" w:w="20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Cambios estratégicos que afectan procesos críticos, estructura, tecnología o un número significativo de personas.</w:t>
            </w:r>
          </w:p>
        </w:tc>
        <w:tc>
          <w:tcPr>
            <w:tcW w:type="dxa" w:w="18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DE8E3"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6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center"/>
          </w:tcPr>
          <w:p>
            <w:pPr>
              <w:spacing w:after="0"/>
              <w:jc w:val="center"/>
            </w:pPr>
            <w:r>
              <w:rPr>
                <w:b/>
                <w:bCs/>
                <w:i w:val="false"/>
                <w:iCs w:val="false"/>
                <w:color w:val="B05A00"/>
                <w:sz w:val="20"/>
                <w:szCs w:val="20"/>
              </w:rPr>
              <w:t xml:space="preserve">Medio</w:t>
            </w:r>
          </w:p>
        </w:tc>
        <w:tc>
          <w:tcPr>
            <w:tcW w:type="dxa" w:w="20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Cambios que afectan procedimientos, herramientas de trabajo o equipos específicos.</w:t>
            </w:r>
          </w:p>
        </w:tc>
        <w:tc>
          <w:tcPr>
            <w:tcW w:type="dxa" w:w="18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16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center"/>
          </w:tcPr>
          <w:p>
            <w:pPr>
              <w:spacing w:after="0"/>
              <w:jc w:val="center"/>
            </w:pPr>
            <w:r>
              <w:rPr>
                <w:b/>
                <w:bCs/>
                <w:i w:val="false"/>
                <w:iCs w:val="false"/>
                <w:color w:val="3B7A3D"/>
                <w:sz w:val="20"/>
                <w:szCs w:val="20"/>
              </w:rPr>
              <w:t xml:space="preserve">Bajo</w:t>
            </w:r>
          </w:p>
        </w:tc>
        <w:tc>
          <w:tcPr>
            <w:tcW w:type="dxa" w:w="20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Cambios menores, ajustes puntuales o correcciones de procedimientos sin impacto estructural.</w:t>
            </w:r>
          </w:p>
        </w:tc>
        <w:tc>
          <w:tcPr>
            <w:tcW w:type="dxa" w:w="1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8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7.  </w:t>
      </w:r>
      <w:r>
        <w:rPr>
          <w:b/>
          <w:bCs/>
          <w:color w:val="1B3A4B"/>
          <w:sz w:val="24"/>
          <w:szCs w:val="24"/>
        </w:rPr>
        <w:t xml:space="preserve">Registro de cambios identificados en el período</w:t>
      </w:r>
    </w:p>
    <w:p>
      <w:pPr>
        <w:spacing w:after="140"/>
        <w:jc w:val="both"/>
      </w:pPr>
      <w:r>
        <w:rPr>
          <w:b w:val="false"/>
          <w:bCs w:val="false"/>
          <w:i w:val="false"/>
          <w:iCs w:val="false"/>
          <w:color w:val="2C2C2C"/>
          <w:sz w:val="22"/>
          <w:szCs w:val="22"/>
        </w:rPr>
        <w:t xml:space="preserve">A continuación se registran los cambios organizacionales identificados por el GLC durante el período de implementación del plan de intervención, con su valoración de magnitud y el responsable de su gestión:</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200"/>
        <w:gridCol w:w="1600"/>
        <w:gridCol w:w="1600"/>
        <w:gridCol w:w="2600"/>
      </w:tblGrid>
      <w:tr>
        <w:trPr>
          <w:tblHeader/>
        </w:trPr>
        <w:tc>
          <w:tcPr>
            <w:tcW w:type="dxa" w:w="3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Descripción del cambio identificado</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Factor desencadenante (interno / externo)</w:t>
            </w:r>
          </w:p>
        </w:tc>
        <w:tc>
          <w:tcPr>
            <w:tcW w:type="dxa" w:w="1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Magnitud valorada (Alto / Medio / Bajo)</w:t>
            </w:r>
          </w:p>
        </w:tc>
        <w:tc>
          <w:tcPr>
            <w:tcW w:type="dxa" w:w="2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Responsable de liderarlo y fecha estimada de inicio</w:t>
            </w:r>
          </w:p>
        </w:tc>
      </w:tr>
      <w:tr>
        <w:tc>
          <w:tcPr>
            <w:tcW w:type="dxa" w:w="3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r>
        <w:tc>
          <w:tcPr>
            <w:tcW w:type="dxa" w:w="3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1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20"/>
                <w:szCs w:val="20"/>
              </w:rPr>
              <w:t xml:space="preserve"/>
            </w:r>
          </w:p>
        </w:tc>
        <w:tc>
          <w:tcPr>
            <w:tcW w:type="dxa" w:w="26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20"/>
                <w:szCs w:val="20"/>
              </w:rPr>
              <w:t xml:space="preserve"/>
            </w:r>
          </w:p>
        </w:tc>
      </w:tr>
    </w:tbl>
    <w:p>
      <w:pPr>
        <w:spacing w:after="160"/>
      </w:pPr>
      <w:r>
        <w:t xml:space="preserve"/>
      </w:r>
    </w:p>
    <w:p>
      <w:pPr>
        <w:pBdr>
          <w:bottom w:val="single" w:color="2E5F78" w:sz="4"/>
        </w:pBdr>
        <w:spacing w:after="140" w:before="340"/>
      </w:pPr>
      <w:r>
        <w:rPr>
          <w:b/>
          <w:bCs/>
          <w:color w:val="C25B3D"/>
          <w:sz w:val="24"/>
          <w:szCs w:val="24"/>
        </w:rPr>
        <w:t xml:space="preserve">8.  </w:t>
      </w:r>
      <w:r>
        <w:rPr>
          <w:b/>
          <w:bCs/>
          <w:color w:val="1B3A4B"/>
          <w:sz w:val="24"/>
          <w:szCs w:val="24"/>
        </w:rPr>
        <w:t xml:space="preserve">Pasos acordados para enfrentar los cambios identificados</w:t>
      </w:r>
    </w:p>
    <w:p>
      <w:pPr>
        <w:spacing w:after="140"/>
        <w:jc w:val="both"/>
      </w:pPr>
      <w:r>
        <w:rPr>
          <w:b w:val="false"/>
          <w:bCs w:val="false"/>
          <w:i w:val="false"/>
          <w:iCs w:val="false"/>
          <w:color w:val="2C2C2C"/>
          <w:sz w:val="22"/>
          <w:szCs w:val="22"/>
        </w:rPr>
        <w:t xml:space="preserve">El GLC establece que ante cualquier cambio calificado como relevante, se seguirán los siguientes pasos, alineados con las fases del ciclo PHVA de la acción de Gestión del Cambio:</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800"/>
        <w:gridCol w:w="1800"/>
        <w:gridCol w:w="6400"/>
      </w:tblGrid>
      <w:tr>
        <w:tc>
          <w:tcPr>
            <w:tcW w:type="dxa" w:w="800"/>
            <w:vMerge w:val="restart"/>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center"/>
          </w:tcPr>
          <w:p>
            <w:pPr>
              <w:spacing w:after="0"/>
              <w:jc w:val="center"/>
            </w:pPr>
            <w:r>
              <w:rPr>
                <w:b/>
                <w:bCs/>
                <w:color w:val="2E5F78"/>
                <w:sz w:val="28"/>
                <w:szCs w:val="28"/>
              </w:rPr>
              <w:t xml:space="preserve">P</w:t>
            </w:r>
          </w:p>
        </w:tc>
        <w:tc>
          <w:tcPr>
            <w:tcW w:type="dxa" w:w="1800"/>
            <w:vMerge w:val="restart"/>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center"/>
          </w:tcPr>
          <w:p>
            <w:pPr>
              <w:spacing w:after="0"/>
              <w:jc w:val="left"/>
            </w:pPr>
            <w:r>
              <w:rPr>
                <w:b/>
                <w:bCs/>
                <w:color w:val="2E5F78"/>
                <w:sz w:val="20"/>
                <w:szCs w:val="20"/>
              </w:rPr>
              <w:t xml:space="preserve">PLANEAR</w:t>
            </w:r>
          </w:p>
        </w:tc>
        <w:tc>
          <w:tcPr>
            <w:tcW w:type="dxa" w:w="6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 Activar el GLC e identificar el cambio mediante los criterios de la Sección 5.</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2. Valorar la magnitud del cambio y determinar la instancia de aprobación (Sección 6).</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3. Definir los recursos necesarios (humanos, técnicos, financieros, logísticos).</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4. Planear las acciones de comunicación y formación para facilitar la transición.</w:t>
            </w:r>
          </w:p>
        </w:tc>
      </w:tr>
      <w:tr>
        <w:tc>
          <w:tcPr>
            <w:tcW w:type="dxa" w:w="800"/>
            <w:vMerge w:val="restart"/>
            <w:tcBorders>
              <w:top w:val="single" w:color="D0C8B8" w:sz="4"/>
              <w:left w:val="single" w:color="D0C8B8" w:sz="4"/>
              <w:bottom w:val="single" w:color="D0C8B8" w:sz="4"/>
              <w:right w:val="single" w:color="D0C8B8" w:sz="4"/>
            </w:tcBorders>
            <w:shd w:fill="F6E6DF" w:val="clear"/>
            <w:tcMar>
              <w:top w:type="dxa" w:w="100"/>
              <w:left w:type="dxa" w:w="140"/>
              <w:bottom w:type="dxa" w:w="100"/>
              <w:right w:type="dxa" w:w="140"/>
            </w:tcMar>
            <w:vAlign w:val="center"/>
          </w:tcPr>
          <w:p>
            <w:pPr>
              <w:spacing w:after="0"/>
              <w:jc w:val="center"/>
            </w:pPr>
            <w:r>
              <w:rPr>
                <w:b/>
                <w:bCs/>
                <w:color w:val="C25B3D"/>
                <w:sz w:val="28"/>
                <w:szCs w:val="28"/>
              </w:rPr>
              <w:t xml:space="preserve">H</w:t>
            </w:r>
          </w:p>
        </w:tc>
        <w:tc>
          <w:tcPr>
            <w:tcW w:type="dxa" w:w="1800"/>
            <w:vMerge w:val="restart"/>
            <w:tcBorders>
              <w:top w:val="single" w:color="D0C8B8" w:sz="4"/>
              <w:left w:val="single" w:color="D0C8B8" w:sz="4"/>
              <w:bottom w:val="single" w:color="D0C8B8" w:sz="4"/>
              <w:right w:val="single" w:color="D0C8B8" w:sz="4"/>
            </w:tcBorders>
            <w:shd w:fill="F6E6DF" w:val="clear"/>
            <w:tcMar>
              <w:top w:type="dxa" w:w="100"/>
              <w:left w:type="dxa" w:w="140"/>
              <w:bottom w:type="dxa" w:w="100"/>
              <w:right w:type="dxa" w:w="140"/>
            </w:tcMar>
            <w:vAlign w:val="center"/>
          </w:tcPr>
          <w:p>
            <w:pPr>
              <w:spacing w:after="0"/>
              <w:jc w:val="left"/>
            </w:pPr>
            <w:r>
              <w:rPr>
                <w:b/>
                <w:bCs/>
                <w:color w:val="C25B3D"/>
                <w:sz w:val="20"/>
                <w:szCs w:val="20"/>
              </w:rPr>
              <w:t xml:space="preserve">HACER</w:t>
            </w:r>
          </w:p>
        </w:tc>
        <w:tc>
          <w:tcPr>
            <w:tcW w:type="dxa" w:w="6400"/>
            <w:tcBorders>
              <w:top w:val="single" w:color="D0C8B8" w:sz="4"/>
              <w:left w:val="single" w:color="D0C8B8" w:sz="4"/>
              <w:bottom w:val="single" w:color="D0C8B8" w:sz="4"/>
              <w:right w:val="single" w:color="D0C8B8" w:sz="4"/>
            </w:tcBorders>
            <w:shd w:fill="F6E6D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 Comunicar el cambio a todos los niveles afectados, con claridad sobre qué cambia, por qué y cómo afecta a cada persona.</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2. Implementar las acciones de formación o ajuste de procedimientos requeridas.</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6E6D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3. Gestionar las barreras o resistencias al cambio mediante el liderazgo transformacional.</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4. Ejecutar el cambio según el plan definido.</w:t>
            </w:r>
          </w:p>
        </w:tc>
      </w:tr>
      <w:tr>
        <w:tc>
          <w:tcPr>
            <w:tcW w:type="dxa" w:w="800"/>
            <w:vMerge w:val="restart"/>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center"/>
          </w:tcPr>
          <w:p>
            <w:pPr>
              <w:spacing w:after="0"/>
              <w:jc w:val="center"/>
            </w:pPr>
            <w:r>
              <w:rPr>
                <w:b/>
                <w:bCs/>
                <w:color w:val="3B7A3D"/>
                <w:sz w:val="28"/>
                <w:szCs w:val="28"/>
              </w:rPr>
              <w:t xml:space="preserve">V</w:t>
            </w:r>
          </w:p>
        </w:tc>
        <w:tc>
          <w:tcPr>
            <w:tcW w:type="dxa" w:w="1800"/>
            <w:vMerge w:val="restart"/>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center"/>
          </w:tcPr>
          <w:p>
            <w:pPr>
              <w:spacing w:after="0"/>
              <w:jc w:val="left"/>
            </w:pPr>
            <w:r>
              <w:rPr>
                <w:b/>
                <w:bCs/>
                <w:color w:val="3B7A3D"/>
                <w:sz w:val="20"/>
                <w:szCs w:val="20"/>
              </w:rPr>
              <w:t xml:space="preserve">VERIFICAR</w:t>
            </w:r>
          </w:p>
        </w:tc>
        <w:tc>
          <w:tcPr>
            <w:tcW w:type="dxa" w:w="6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 Medir la eficacia e impacto del cambio mediante los indicadores definidos.</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2. Identificar desviaciones respecto al plan y necesidades de ajuste.</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E8F0E8"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3. Evaluar el impacto psicosocial del cambio sobre los trabajadores.</w:t>
            </w:r>
          </w:p>
        </w:tc>
      </w:tr>
      <w:tr>
        <w:tc>
          <w:tcPr>
            <w:tcW w:type="dxa" w:w="800"/>
            <w:vMerge w:val="restart"/>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center"/>
          </w:tcPr>
          <w:p>
            <w:pPr>
              <w:spacing w:after="0"/>
              <w:jc w:val="center"/>
            </w:pPr>
            <w:r>
              <w:rPr>
                <w:b/>
                <w:bCs/>
                <w:color w:val="7B5400"/>
                <w:sz w:val="28"/>
                <w:szCs w:val="28"/>
              </w:rPr>
              <w:t xml:space="preserve">A</w:t>
            </w:r>
          </w:p>
        </w:tc>
        <w:tc>
          <w:tcPr>
            <w:tcW w:type="dxa" w:w="1800"/>
            <w:vMerge w:val="restart"/>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center"/>
          </w:tcPr>
          <w:p>
            <w:pPr>
              <w:spacing w:after="0"/>
              <w:jc w:val="left"/>
            </w:pPr>
            <w:r>
              <w:rPr>
                <w:b/>
                <w:bCs/>
                <w:color w:val="7B5400"/>
                <w:sz w:val="20"/>
                <w:szCs w:val="20"/>
              </w:rPr>
              <w:t xml:space="preserve">ACTUAR</w:t>
            </w:r>
          </w:p>
        </w:tc>
        <w:tc>
          <w:tcPr>
            <w:tcW w:type="dxa" w:w="64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1. Implementar los ajustes o mejoras identificados en la fase de verificación.</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2. Documentar las lecciones aprendidas para futuros procesos de cambio.</w:t>
            </w:r>
          </w:p>
        </w:tc>
      </w:tr>
      <w:tr>
        <w:tc>
          <w:tcPr>
            <w:vMerge w:val="continue"/>
            <w:tcBorders>
              <w:top w:val="single" w:color="D0C8B8" w:sz="4"/>
              <w:left w:val="single" w:color="D0C8B8" w:sz="4"/>
              <w:bottom w:val="single" w:color="D0C8B8" w:sz="4"/>
              <w:right w:val="single" w:color="D0C8B8" w:sz="4"/>
            </w:tcBorders>
          </w:tcPr>
          <w:p/>
        </w:tc>
        <w:tc>
          <w:tcPr>
            <w:vMerge w:val="continue"/>
            <w:tcBorders>
              <w:top w:val="single" w:color="D0C8B8" w:sz="4"/>
              <w:left w:val="single" w:color="D0C8B8" w:sz="4"/>
              <w:bottom w:val="single" w:color="D0C8B8" w:sz="4"/>
              <w:right w:val="single" w:color="D0C8B8" w:sz="4"/>
            </w:tcBorders>
          </w:tcPr>
          <w:p/>
        </w:tc>
        <w:tc>
          <w:tcPr>
            <w:tcW w:type="dxa" w:w="6400"/>
            <w:tcBorders>
              <w:top w:val="single" w:color="D0C8B8" w:sz="4"/>
              <w:left w:val="single" w:color="D0C8B8" w:sz="4"/>
              <w:bottom w:val="single" w:color="D0C8B8" w:sz="4"/>
              <w:right w:val="single" w:color="D0C8B8" w:sz="4"/>
            </w:tcBorders>
            <w:shd w:fill="FEF4DC" w:val="clear"/>
            <w:tcMar>
              <w:top w:type="dxa" w:w="100"/>
              <w:left w:type="dxa" w:w="140"/>
              <w:bottom w:type="dxa" w:w="100"/>
              <w:right w:type="dxa" w:w="140"/>
            </w:tcMar>
            <w:vAlign w:val="top"/>
          </w:tcPr>
          <w:p>
            <w:pPr>
              <w:spacing w:after="0"/>
              <w:jc w:val="left"/>
            </w:pPr>
            <w:r>
              <w:rPr>
                <w:b w:val="false"/>
                <w:bCs w:val="false"/>
                <w:i w:val="false"/>
                <w:iCs w:val="false"/>
                <w:color w:val="2C2C2C"/>
                <w:sz w:val="19"/>
                <w:szCs w:val="19"/>
              </w:rPr>
              <w:t xml:space="preserve">3. Actualizar este documento y el plan de intervención psicosocial con los hallazgos.</w:t>
            </w:r>
          </w:p>
        </w:tc>
      </w:tr>
    </w:tbl>
    <w:p>
      <w:pPr>
        <w:spacing w:after="200"/>
      </w:pPr>
      <w:r>
        <w:t xml:space="preserve"/>
      </w:r>
    </w:p>
    <w:p>
      <w:pPr>
        <w:pBdr>
          <w:bottom w:val="single" w:color="2E5F78" w:sz="4"/>
        </w:pBdr>
        <w:spacing w:after="140" w:before="340"/>
      </w:pPr>
      <w:r>
        <w:rPr>
          <w:b/>
          <w:bCs/>
          <w:color w:val="C25B3D"/>
          <w:sz w:val="24"/>
          <w:szCs w:val="24"/>
        </w:rPr>
        <w:t xml:space="preserve">9.  </w:t>
      </w:r>
      <w:r>
        <w:rPr>
          <w:b/>
          <w:bCs/>
          <w:color w:val="1B3A4B"/>
          <w:sz w:val="24"/>
          <w:szCs w:val="24"/>
        </w:rPr>
        <w:t xml:space="preserve">Indicadores de seguimiento de la actividad</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2600"/>
        <w:gridCol w:w="2000"/>
        <w:gridCol w:w="1800"/>
        <w:gridCol w:w="1400"/>
        <w:gridCol w:w="1200"/>
      </w:tblGrid>
      <w:tr>
        <w:trPr>
          <w:tblHeader/>
        </w:trPr>
        <w:tc>
          <w:tcPr>
            <w:tcW w:type="dxa" w:w="26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Indicador</w:t>
            </w:r>
          </w:p>
        </w:tc>
        <w:tc>
          <w:tcPr>
            <w:tcW w:type="dxa" w:w="20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Método de cálculo / verificación</w:t>
            </w:r>
          </w:p>
        </w:tc>
        <w:tc>
          <w:tcPr>
            <w:tcW w:type="dxa" w:w="18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Tipo de indicador</w:t>
            </w:r>
          </w:p>
        </w:tc>
        <w:tc>
          <w:tcPr>
            <w:tcW w:type="dxa" w:w="14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Responsable</w:t>
            </w:r>
          </w:p>
        </w:tc>
        <w:tc>
          <w:tcPr>
            <w:tcW w:type="dxa" w:w="1200"/>
            <w:tcBorders>
              <w:top w:val="single" w:color="D0C8B8" w:sz="4"/>
              <w:left w:val="single" w:color="D0C8B8" w:sz="4"/>
              <w:bottom w:val="single" w:color="D0C8B8" w:sz="4"/>
              <w:right w:val="single" w:color="D0C8B8" w:sz="4"/>
            </w:tcBorders>
            <w:shd w:fill="1B3A4B" w:val="clear"/>
            <w:tcMar>
              <w:top w:type="dxa" w:w="100"/>
              <w:left w:type="dxa" w:w="140"/>
              <w:bottom w:type="dxa" w:w="100"/>
              <w:right w:type="dxa" w:w="140"/>
            </w:tcMar>
            <w:vAlign w:val="center"/>
          </w:tcPr>
          <w:p>
            <w:pPr>
              <w:spacing w:after="0"/>
              <w:jc w:val="center"/>
            </w:pPr>
            <w:r>
              <w:rPr>
                <w:b/>
                <w:bCs/>
                <w:color w:val="FFFFFF"/>
                <w:sz w:val="20"/>
                <w:szCs w:val="20"/>
              </w:rPr>
              <w:t xml:space="preserve">Periodicidad</w:t>
            </w:r>
          </w:p>
        </w:tc>
      </w:tr>
      <w:tr>
        <w:tc>
          <w:tcPr>
            <w:tcW w:type="dxa" w:w="26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GLC conformado y documentado</w:t>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GLC documentado (Sí/No)</w:t>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Cualitativo – Estructura</w:t>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GTH / SST</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Al inicio</w:t>
            </w:r>
          </w:p>
        </w:tc>
      </w:tr>
      <w:tr>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Definición de cambio adoptada y socializada</w:t>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Definición aprobada (Sí/No)</w:t>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Cualitativo – Estructura</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GLC</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Primer mes</w:t>
            </w:r>
          </w:p>
        </w:tc>
      </w:tr>
      <w:tr>
        <w:tc>
          <w:tcPr>
            <w:tcW w:type="dxa" w:w="26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Criterios de magnitud del cambio definidos</w:t>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Criterios documentados (Sí/No)</w:t>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Cualitativo – Estructura</w:t>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GLC</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Primer mes</w:t>
            </w:r>
          </w:p>
        </w:tc>
      </w:tr>
      <w:tr>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Estructura de decisión definida y vigente</w:t>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Estructura documentada (Sí/No)</w:t>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Cualitativo – Estructura</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GLC</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Primer mes</w:t>
            </w:r>
          </w:p>
        </w:tc>
      </w:tr>
      <w:tr>
        <w:tc>
          <w:tcPr>
            <w:tcW w:type="dxa" w:w="26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Cambios identificados y registrados en el período</w:t>
            </w:r>
          </w:p>
        </w:tc>
        <w:tc>
          <w:tcPr>
            <w:tcW w:type="dxa" w:w="2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N.° cambios registrados / N.° cambios ocurridos × 100</w:t>
            </w:r>
          </w:p>
        </w:tc>
        <w:tc>
          <w:tcPr>
            <w:tcW w:type="dxa" w:w="18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Cuantitativo – Proceso</w:t>
            </w:r>
          </w:p>
        </w:tc>
        <w:tc>
          <w:tcPr>
            <w:tcW w:type="dxa" w:w="14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SST / GTH</w:t>
            </w:r>
          </w:p>
        </w:tc>
        <w:tc>
          <w:tcPr>
            <w:tcW w:type="dxa" w:w="12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Trimestral</w:t>
            </w:r>
          </w:p>
        </w:tc>
      </w:tr>
      <w:tr>
        <w:tc>
          <w:tcPr>
            <w:tcW w:type="dxa" w:w="26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bCs/>
                <w:i w:val="false"/>
                <w:iCs w:val="false"/>
                <w:color w:val="2C2C2C"/>
                <w:sz w:val="18"/>
                <w:szCs w:val="18"/>
              </w:rPr>
              <w:t xml:space="preserve">Cambios gestionados con el protocolo definido</w:t>
            </w:r>
          </w:p>
        </w:tc>
        <w:tc>
          <w:tcPr>
            <w:tcW w:type="dxa" w:w="2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left"/>
            </w:pPr>
            <w:r>
              <w:rPr>
                <w:b w:val="false"/>
                <w:bCs w:val="false"/>
                <w:i w:val="false"/>
                <w:iCs w:val="false"/>
                <w:color w:val="2C2C2C"/>
                <w:sz w:val="18"/>
                <w:szCs w:val="18"/>
              </w:rPr>
              <w:t xml:space="preserve">N.° cambios gestionados con protocolo / N.° cambios registrados × 100</w:t>
            </w:r>
          </w:p>
        </w:tc>
        <w:tc>
          <w:tcPr>
            <w:tcW w:type="dxa" w:w="18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Cuantitativo – Resultado</w:t>
            </w:r>
          </w:p>
        </w:tc>
        <w:tc>
          <w:tcPr>
            <w:tcW w:type="dxa" w:w="14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GLC</w:t>
            </w:r>
          </w:p>
        </w:tc>
        <w:tc>
          <w:tcPr>
            <w:tcW w:type="dxa" w:w="12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2C2C2C"/>
                <w:sz w:val="18"/>
                <w:szCs w:val="18"/>
              </w:rPr>
              <w:t xml:space="preserve">Semestral</w:t>
            </w:r>
          </w:p>
        </w:tc>
      </w:tr>
    </w:tbl>
    <w:p>
      <w:pPr>
        <w:spacing w:after="200"/>
      </w:pPr>
      <w:r>
        <w:t xml:space="preserve"/>
      </w:r>
    </w:p>
    <w:p>
      <w:pPr>
        <w:pBdr>
          <w:bottom w:val="single" w:color="2E5F78" w:sz="4"/>
        </w:pBdr>
        <w:spacing w:after="140" w:before="340"/>
      </w:pPr>
      <w:r>
        <w:rPr>
          <w:b/>
          <w:bCs/>
          <w:color w:val="C25B3D"/>
          <w:sz w:val="24"/>
          <w:szCs w:val="24"/>
        </w:rPr>
        <w:t xml:space="preserve">10.  </w:t>
      </w:r>
      <w:r>
        <w:rPr>
          <w:b/>
          <w:bCs/>
          <w:color w:val="1B3A4B"/>
          <w:sz w:val="24"/>
          <w:szCs w:val="24"/>
        </w:rPr>
        <w:t xml:space="preserve">Observaciones, barreras identificadas y lecciones aprendidas</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9000"/>
      </w:tblGrid>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Barreras o dificultades encontradas en la implementación de esta actividad:</w:t>
            </w:r>
          </w:p>
        </w:tc>
      </w:tr>
      <w:tr>
        <w:tc>
          <w:tcPr>
            <w:tcW w:type="dxa" w:w="9000"/>
            <w:tcBorders>
              <w:top w:val="single" w:color="D0C8B8" w:sz="4"/>
              <w:left w:val="single" w:color="D0C8B8" w:sz="4"/>
              <w:bottom w:val="single" w:color="D0C8B8" w:sz="4"/>
              <w:right w:val="single" w:color="D0C8B8" w:sz="4"/>
            </w:tcBorders>
            <w:shd w:fill="F8F5EF" w:val="clear"/>
            <w:tcMar>
              <w:top w:type="dxa" w:w="80"/>
              <w:left w:type="dxa" w:w="160"/>
              <w:bottom w:type="dxa" w:w="80"/>
              <w:right w:type="dxa" w:w="160"/>
            </w:tcMar>
          </w:tcPr>
          <w:p>
            <w:pPr>
              <w:spacing w:after="120"/>
            </w:pPr>
            <w:r>
              <w:t xml:space="preserve"/>
            </w:r>
          </w:p>
          <w:p>
            <w:pPr>
              <w:spacing w:after="120"/>
            </w:pPr>
            <w:r>
              <w:t xml:space="preserve"/>
            </w:r>
          </w:p>
        </w:tc>
      </w:tr>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Facilitadores que apoyaron el desarrollo de la actividad:</w:t>
            </w:r>
          </w:p>
        </w:tc>
      </w:tr>
      <w:tr>
        <w:tc>
          <w:tcPr>
            <w:tcW w:type="dxa" w:w="9000"/>
            <w:tcBorders>
              <w:top w:val="single" w:color="D0C8B8" w:sz="4"/>
              <w:left w:val="single" w:color="D0C8B8" w:sz="4"/>
              <w:bottom w:val="single" w:color="D0C8B8" w:sz="4"/>
              <w:right w:val="single" w:color="D0C8B8" w:sz="4"/>
            </w:tcBorders>
            <w:shd w:fill="FFFFFF" w:val="clear"/>
            <w:tcMar>
              <w:top w:type="dxa" w:w="80"/>
              <w:left w:type="dxa" w:w="160"/>
              <w:bottom w:type="dxa" w:w="80"/>
              <w:right w:type="dxa" w:w="160"/>
            </w:tcMar>
          </w:tcPr>
          <w:p>
            <w:pPr>
              <w:spacing w:after="120"/>
            </w:pPr>
            <w:r>
              <w:t xml:space="preserve"/>
            </w:r>
          </w:p>
          <w:p>
            <w:pPr>
              <w:spacing w:after="120"/>
            </w:pPr>
            <w:r>
              <w:t xml:space="preserve"/>
            </w:r>
          </w:p>
        </w:tc>
      </w:tr>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Lecciones aprendidas y recomendaciones para futuras gestiones del cambio:</w:t>
            </w:r>
          </w:p>
        </w:tc>
      </w:tr>
      <w:tr>
        <w:tc>
          <w:tcPr>
            <w:tcW w:type="dxa" w:w="9000"/>
            <w:tcBorders>
              <w:top w:val="single" w:color="D0C8B8" w:sz="4"/>
              <w:left w:val="single" w:color="D0C8B8" w:sz="4"/>
              <w:bottom w:val="single" w:color="D0C8B8" w:sz="4"/>
              <w:right w:val="single" w:color="D0C8B8" w:sz="4"/>
            </w:tcBorders>
            <w:shd w:fill="F8F5EF" w:val="clear"/>
            <w:tcMar>
              <w:top w:type="dxa" w:w="80"/>
              <w:left w:type="dxa" w:w="160"/>
              <w:bottom w:type="dxa" w:w="80"/>
              <w:right w:type="dxa" w:w="160"/>
            </w:tcMar>
          </w:tcPr>
          <w:p>
            <w:pPr>
              <w:spacing w:after="120"/>
            </w:pPr>
            <w:r>
              <w:t xml:space="preserve"/>
            </w:r>
          </w:p>
          <w:p>
            <w:pPr>
              <w:spacing w:after="120"/>
            </w:pPr>
            <w:r>
              <w:t xml:space="preserve"/>
            </w:r>
          </w:p>
        </w:tc>
      </w:tr>
      <w:tr>
        <w:tc>
          <w:tcPr>
            <w:tcW w:type="dxa" w:w="9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left"/>
            </w:pPr>
            <w:r>
              <w:rPr>
                <w:b/>
                <w:bCs/>
                <w:i w:val="false"/>
                <w:iCs w:val="false"/>
                <w:color w:val="2C2C2C"/>
                <w:sz w:val="19"/>
                <w:szCs w:val="19"/>
              </w:rPr>
              <w:t xml:space="preserve">Ajustes realizados o por realizar al protocolo de gestión del cambio de la empresa:</w:t>
            </w:r>
          </w:p>
        </w:tc>
      </w:tr>
      <w:tr>
        <w:tc>
          <w:tcPr>
            <w:tcW w:type="dxa" w:w="9000"/>
            <w:tcBorders>
              <w:top w:val="single" w:color="D0C8B8" w:sz="4"/>
              <w:left w:val="single" w:color="D0C8B8" w:sz="4"/>
              <w:bottom w:val="single" w:color="D0C8B8" w:sz="4"/>
              <w:right w:val="single" w:color="D0C8B8" w:sz="4"/>
            </w:tcBorders>
            <w:shd w:fill="FFFFFF" w:val="clear"/>
            <w:tcMar>
              <w:top w:type="dxa" w:w="80"/>
              <w:left w:type="dxa" w:w="160"/>
              <w:bottom w:type="dxa" w:w="80"/>
              <w:right w:type="dxa" w:w="160"/>
            </w:tcMar>
          </w:tcPr>
          <w:p>
            <w:pPr>
              <w:spacing w:after="120"/>
            </w:pPr>
            <w:r>
              <w:t xml:space="preserve"/>
            </w:r>
          </w:p>
          <w:p>
            <w:pPr>
              <w:spacing w:after="120"/>
            </w:pPr>
            <w:r>
              <w:t xml:space="preserve"/>
            </w:r>
          </w:p>
        </w:tc>
      </w:tr>
    </w:tbl>
    <w:p>
      <w:pPr>
        <w:spacing w:after="240"/>
      </w:pPr>
      <w:r>
        <w:t xml:space="preserve"/>
      </w:r>
    </w:p>
    <w:p>
      <w:pPr>
        <w:pBdr>
          <w:bottom w:val="single" w:color="2E5F78" w:sz="4"/>
        </w:pBdr>
        <w:spacing w:after="140" w:before="340"/>
      </w:pPr>
      <w:r>
        <w:rPr>
          <w:b/>
          <w:bCs/>
          <w:color w:val="C25B3D"/>
          <w:sz w:val="24"/>
          <w:szCs w:val="24"/>
        </w:rPr>
        <w:t xml:space="preserve">11.  </w:t>
      </w:r>
      <w:r>
        <w:rPr>
          <w:b/>
          <w:bCs/>
          <w:color w:val="1B3A4B"/>
          <w:sz w:val="24"/>
          <w:szCs w:val="24"/>
        </w:rPr>
        <w:t xml:space="preserve">Validación y firmas</w:t>
      </w:r>
    </w:p>
    <w:p>
      <w:pPr>
        <w:spacing w:after="140"/>
        <w:jc w:val="both"/>
      </w:pPr>
      <w:r>
        <w:rPr>
          <w:b w:val="false"/>
          <w:bCs w:val="false"/>
          <w:i w:val="false"/>
          <w:iCs w:val="false"/>
          <w:color w:val="2C2C2C"/>
          <w:sz w:val="22"/>
          <w:szCs w:val="22"/>
        </w:rPr>
        <w:t xml:space="preserve">Las personas abajo firmantes certifican que la información registrada en el presente documento es veraz, que la actividad (i) de la acción Gestión del Cambio fue desarrollada de acuerdo con el protocolo del Ministerio del Trabajo de Colombia, y que los compromisos aquí consignados serán objeto de seguimiento en las instancias del SG-SST.</w:t>
      </w:r>
    </w:p>
    <w:p>
      <w:pPr>
        <w:spacing w:after="80"/>
      </w:pPr>
      <w:r>
        <w:t xml:space="preserve"/>
      </w:r>
    </w:p>
    <w:tbl>
      <w:tblPr>
        <w:tblW w:type="dxa" w:w="9000"/>
        <w:tblBorders>
          <w:top w:val="single" w:color="auto" w:sz="4"/>
          <w:left w:val="single" w:color="auto" w:sz="4"/>
          <w:bottom w:val="single" w:color="auto" w:sz="4"/>
          <w:right w:val="single" w:color="auto" w:sz="4"/>
          <w:insideH w:val="single" w:color="auto" w:sz="4"/>
          <w:insideV w:val="single" w:color="auto" w:sz="4"/>
        </w:tblBorders>
      </w:tblPr>
      <w:tblGrid>
        <w:gridCol w:w="3000"/>
        <w:gridCol w:w="3000"/>
        <w:gridCol w:w="3000"/>
      </w:tblGrid>
      <w:tr>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Responsable de SST</w:t>
            </w:r>
          </w:p>
        </w:tc>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Líder de GTH</w:t>
            </w:r>
          </w:p>
        </w:tc>
        <w:tc>
          <w:tcPr>
            <w:tcW w:type="dxa" w:w="3000"/>
            <w:tcBorders>
              <w:top w:val="single" w:color="D0C8B8" w:sz="4"/>
              <w:left w:val="single" w:color="D0C8B8" w:sz="4"/>
              <w:bottom w:val="single" w:color="D0C8B8" w:sz="4"/>
              <w:right w:val="single" w:color="D0C8B8" w:sz="4"/>
            </w:tcBorders>
            <w:shd w:fill="E4ECEF" w:val="clear"/>
            <w:tcMar>
              <w:top w:type="dxa" w:w="100"/>
              <w:left w:type="dxa" w:w="140"/>
              <w:bottom w:type="dxa" w:w="100"/>
              <w:right w:type="dxa" w:w="140"/>
            </w:tcMar>
            <w:vAlign w:val="top"/>
          </w:tcPr>
          <w:p>
            <w:pPr>
              <w:spacing w:after="0"/>
              <w:jc w:val="center"/>
            </w:pPr>
            <w:r>
              <w:rPr>
                <w:b/>
                <w:bCs/>
                <w:i w:val="false"/>
                <w:iCs w:val="false"/>
                <w:color w:val="2C2C2C"/>
                <w:sz w:val="19"/>
                <w:szCs w:val="19"/>
              </w:rPr>
              <w:t xml:space="preserve">Representante Alta Dirección</w:t>
            </w:r>
          </w:p>
        </w:tc>
      </w:tr>
      <w:tr>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80"/>
            </w:pPr>
            <w:r>
              <w:t xml:space="preserve"/>
            </w:r>
          </w:p>
          <w:p>
            <w:pPr>
              <w:spacing w:after="0"/>
              <w:jc w:val="center"/>
            </w:pPr>
            <w:r>
              <w:rPr>
                <w:i/>
                <w:iCs/>
                <w:color w:val="595959"/>
                <w:sz w:val="18"/>
                <w:szCs w:val="18"/>
              </w:rPr>
              <w:t xml:space="preserve">Firma</w:t>
            </w:r>
          </w:p>
        </w:tc>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80"/>
            </w:pPr>
            <w:r>
              <w:t xml:space="preserve"/>
            </w:r>
          </w:p>
          <w:p>
            <w:pPr>
              <w:spacing w:after="0"/>
              <w:jc w:val="center"/>
            </w:pPr>
            <w:r>
              <w:rPr>
                <w:i/>
                <w:iCs/>
                <w:color w:val="595959"/>
                <w:sz w:val="18"/>
                <w:szCs w:val="18"/>
              </w:rPr>
              <w:t xml:space="preserve">Firma</w:t>
            </w:r>
          </w:p>
        </w:tc>
        <w:tc>
          <w:tcPr>
            <w:tcW w:type="dxa" w:w="3000"/>
            <w:tcBorders>
              <w:top w:val="single" w:color="D0C8B8" w:sz="4"/>
              <w:left w:val="single" w:color="D0C8B8" w:sz="4"/>
              <w:bottom w:val="single" w:color="D0C8B8" w:sz="4"/>
              <w:right w:val="single" w:color="D0C8B8" w:sz="4"/>
            </w:tcBorders>
            <w:shd w:fill="FFFFFF" w:val="clear"/>
            <w:tcMar>
              <w:top w:type="dxa" w:w="8"/>
              <w:left w:type="dxa" w:w="140"/>
              <w:bottom w:type="dxa" w:w="8"/>
              <w:right w:type="dxa" w:w="140"/>
            </w:tcMar>
          </w:tcPr>
          <w:p>
            <w:pPr>
              <w:spacing w:after="280"/>
            </w:pPr>
            <w:r>
              <w:t xml:space="preserve"/>
            </w:r>
          </w:p>
          <w:p>
            <w:pPr>
              <w:spacing w:after="0"/>
              <w:jc w:val="center"/>
            </w:pPr>
            <w:r>
              <w:rPr>
                <w:i/>
                <w:iCs/>
                <w:color w:val="595959"/>
                <w:sz w:val="18"/>
                <w:szCs w:val="18"/>
              </w:rPr>
              <w:t xml:space="preserve">Firma</w:t>
            </w:r>
          </w:p>
        </w:tc>
      </w:tr>
      <w:tr>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c>
          <w:tcPr>
            <w:tcW w:type="dxa" w:w="3000"/>
            <w:tcBorders>
              <w:top w:val="single" w:color="D0C8B8" w:sz="4"/>
              <w:left w:val="single" w:color="D0C8B8" w:sz="4"/>
              <w:bottom w:val="single" w:color="D0C8B8" w:sz="4"/>
              <w:right w:val="single" w:color="D0C8B8" w:sz="4"/>
            </w:tcBorders>
            <w:shd w:fill="F8F5E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Nombre: ___________________________</w:t>
            </w:r>
          </w:p>
        </w:tc>
      </w:tr>
      <w:tr>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c>
          <w:tcPr>
            <w:tcW w:type="dxa" w:w="3000"/>
            <w:tcBorders>
              <w:top w:val="single" w:color="D0C8B8" w:sz="4"/>
              <w:left w:val="single" w:color="D0C8B8" w:sz="4"/>
              <w:bottom w:val="single" w:color="D0C8B8" w:sz="4"/>
              <w:right w:val="single" w:color="D0C8B8" w:sz="4"/>
            </w:tcBorders>
            <w:shd w:fill="FFFFFF" w:val="clear"/>
            <w:tcMar>
              <w:top w:type="dxa" w:w="100"/>
              <w:left w:type="dxa" w:w="140"/>
              <w:bottom w:type="dxa" w:w="100"/>
              <w:right w:type="dxa" w:w="140"/>
            </w:tcMar>
            <w:vAlign w:val="top"/>
          </w:tcPr>
          <w:p>
            <w:pPr>
              <w:spacing w:after="0"/>
              <w:jc w:val="center"/>
            </w:pPr>
            <w:r>
              <w:rPr>
                <w:b w:val="false"/>
                <w:bCs w:val="false"/>
                <w:i w:val="false"/>
                <w:iCs w:val="false"/>
                <w:color w:val="595959"/>
                <w:sz w:val="18"/>
                <w:szCs w:val="18"/>
              </w:rPr>
              <w:t xml:space="preserve">Fecha: ____________________________</w:t>
            </w:r>
          </w:p>
        </w:tc>
      </w:tr>
    </w:tbl>
    <w:p>
      <w:pPr>
        <w:spacing w:after="80"/>
      </w:pPr>
      <w:r>
        <w:t xml:space="preserve"/>
      </w:r>
    </w:p>
    <w:p>
      <w:pPr>
        <w:pBdr>
          <w:bottom w:val="single" w:color="D0C8B8" w:sz="6"/>
        </w:pBdr>
        <w:spacing w:after="200"/>
      </w:pPr>
      <w:r>
        <w:t xml:space="preserve"/>
      </w:r>
    </w:p>
    <w:p>
      <w:pPr>
        <w:spacing w:after="60"/>
        <w:jc w:val="center"/>
      </w:pPr>
      <w:r>
        <w:rPr>
          <w:b w:val="false"/>
          <w:bCs w:val="false"/>
          <w:i/>
          <w:iCs/>
          <w:color w:val="595959"/>
          <w:sz w:val="17"/>
          <w:szCs w:val="17"/>
        </w:rPr>
        <w:t xml:space="preserve">PREVENTICA S.A.S.  ·  Gestión del Cambio — Actividad (i)  ·  Código: GC-ACT-01  ·  Versión 1.0</w:t>
      </w:r>
    </w:p>
    <w:p>
      <w:pPr>
        <w:spacing w:after="0"/>
        <w:jc w:val="center"/>
      </w:pPr>
      <w:r>
        <w:rPr>
          <w:b w:val="false"/>
          <w:bCs w:val="false"/>
          <w:i/>
          <w:iCs/>
          <w:color w:val="595959"/>
          <w:sz w:val="17"/>
          <w:szCs w:val="17"/>
        </w:rPr>
        <w:t xml:space="preserve">Documento de trazabilidad para el SG-SST — Uso interno y confidencial</w:t>
      </w:r>
    </w:p>
    <w:sectPr>
      <w:pgSz w:w="11906" w:h="16838" w:orient="portrait"/>
      <w:pgMar w:top="1100" w:right="1100" w:bottom="1100" w:left="11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640" w:hanging="3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2C2C2C"/>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40" w:before="280"/>
      <w:outlineLvl w:val="0"/>
    </w:pPr>
    <w:rPr>
      <w:rFonts w:ascii="Arial" w:cs="Arial" w:eastAsia="Arial" w:hAnsi="Arial"/>
      <w:b/>
      <w:bCs/>
      <w:color w:val="1B3A4B"/>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2026-06-18T22:15:22.577Z</dcterms:created>
  <dcterms:modified xsi:type="dcterms:W3CDTF">2026-06-18T22:15:22.592Z</dcterms:modified>
</cp:coreProperties>
</file>

<file path=docProps/custom.xml><?xml version="1.0" encoding="utf-8"?>
<Properties xmlns="http://schemas.openxmlformats.org/officeDocument/2006/custom-properties" xmlns:vt="http://schemas.openxmlformats.org/officeDocument/2006/docPropsVTypes"/>
</file>