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30" w:rsidRPr="00304980" w:rsidRDefault="00434B33" w:rsidP="00304980">
      <w:pPr>
        <w:pStyle w:val="Title"/>
        <w:pBdr>
          <w:bottom w:val="none" w:sz="0" w:space="0" w:color="auto"/>
        </w:pBdr>
        <w:shd w:val="clear" w:color="auto" w:fill="FDE9D9" w:themeFill="accent6" w:themeFillTint="33"/>
        <w:bidi/>
        <w:ind w:right="-270"/>
        <w:jc w:val="center"/>
        <w:rPr>
          <w:rFonts w:asciiTheme="majorBidi" w:hAnsiTheme="majorBidi"/>
          <w:color w:val="auto"/>
        </w:rPr>
      </w:pPr>
      <w:r w:rsidRPr="00304980">
        <w:rPr>
          <w:rFonts w:asciiTheme="majorBidi" w:hAnsiTheme="majorBidi"/>
          <w:color w:val="auto"/>
        </w:rPr>
        <w:t>Granjero de Bauer Feed Production Internal Audit Checklist and Scoring Handbook</w:t>
      </w:r>
    </w:p>
    <w:p w:rsidR="00410130" w:rsidRPr="00061E49" w:rsidRDefault="00434B33">
      <w:r w:rsidRPr="00061E49">
        <w:t>Audit-ready checklist, evidence prompts, and score chart</w:t>
      </w:r>
    </w:p>
    <w:p w:rsidR="00410130" w:rsidRPr="00061E49" w:rsidRDefault="00434B33" w:rsidP="00304980">
      <w:r w:rsidRPr="00061E49">
        <w:t xml:space="preserve">Document Code: </w:t>
      </w:r>
      <w:r w:rsidR="00304980">
        <w:t>……………………………..</w:t>
      </w:r>
      <w:r w:rsidRPr="00061E49">
        <w:t>| Version 1.0</w:t>
      </w:r>
    </w:p>
    <w:p w:rsidR="00410130" w:rsidRPr="00061E49" w:rsidRDefault="00434B33">
      <w:pPr>
        <w:pStyle w:val="Heading1"/>
        <w:rPr>
          <w:color w:val="auto"/>
        </w:rPr>
      </w:pPr>
      <w:bookmarkStart w:id="0" w:name="document-control"/>
      <w:r w:rsidRPr="00061E49">
        <w:rPr>
          <w:color w:val="auto"/>
        </w:rPr>
        <w:t>Document Control</w:t>
      </w:r>
    </w:p>
    <w:tbl>
      <w:tblPr>
        <w:tblStyle w:val="LightGrid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622"/>
        <w:gridCol w:w="4654"/>
      </w:tblGrid>
      <w:tr w:rsidR="00061E49" w:rsidRPr="00061E49" w:rsidTr="003049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Item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1E49">
              <w:t>Entry</w:t>
            </w:r>
          </w:p>
        </w:tc>
      </w:tr>
      <w:tr w:rsidR="00061E49" w:rsidRPr="00061E49" w:rsidTr="00304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Related standard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t>Granjero de Bauer Feed Production Standard</w:t>
            </w:r>
          </w:p>
        </w:tc>
      </w:tr>
      <w:tr w:rsidR="00061E49" w:rsidRPr="00061E49" w:rsidTr="00304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Manual type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t>Internal audit and readiness scoring handbook</w:t>
            </w:r>
          </w:p>
        </w:tc>
      </w:tr>
      <w:tr w:rsidR="00061E49" w:rsidRPr="00061E49" w:rsidTr="00304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Users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t>Internal auditors, QA, technical managers, site heads</w:t>
            </w:r>
          </w:p>
        </w:tc>
      </w:tr>
    </w:tbl>
    <w:p w:rsidR="00410130" w:rsidRPr="00061E49" w:rsidRDefault="00434B33">
      <w:pPr>
        <w:pStyle w:val="Heading1"/>
        <w:rPr>
          <w:color w:val="auto"/>
        </w:rPr>
      </w:pPr>
      <w:bookmarkStart w:id="1" w:name="audit-method"/>
      <w:bookmarkEnd w:id="0"/>
      <w:r w:rsidRPr="00061E49">
        <w:rPr>
          <w:color w:val="auto"/>
        </w:rPr>
        <w:t>Audit Method</w:t>
      </w:r>
    </w:p>
    <w:p w:rsidR="00410130" w:rsidRPr="00061E49" w:rsidRDefault="00434B33">
      <w:r w:rsidRPr="00061E49">
        <w:t>Audit findings shall be based on objective evidence from site observation, interviews, records, traceability exercises, and product / material review. Sampling depth should match risk. High-risk lines, medicated production, marine ingredients, animal proteins, and export-sensitive products require deeper checking.</w:t>
      </w:r>
    </w:p>
    <w:p w:rsidR="00410130" w:rsidRPr="00061E49" w:rsidRDefault="00434B33">
      <w:pPr>
        <w:pStyle w:val="Heading1"/>
        <w:rPr>
          <w:color w:val="auto"/>
        </w:rPr>
      </w:pPr>
      <w:bookmarkStart w:id="2" w:name="scoring-rules"/>
      <w:bookmarkEnd w:id="1"/>
      <w:r w:rsidRPr="00061E49">
        <w:rPr>
          <w:color w:val="auto"/>
        </w:rPr>
        <w:t>Scoring Rules</w:t>
      </w:r>
    </w:p>
    <w:tbl>
      <w:tblPr>
        <w:tblStyle w:val="LightGrid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151"/>
        <w:gridCol w:w="5151"/>
      </w:tblGrid>
      <w:tr w:rsidR="00061E49" w:rsidRPr="00061E49" w:rsidTr="003049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Score band</w:t>
            </w:r>
          </w:p>
        </w:tc>
        <w:tc>
          <w:tcPr>
            <w:tcW w:w="3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1E49">
              <w:t>Meaning</w:t>
            </w:r>
          </w:p>
        </w:tc>
      </w:tr>
      <w:tr w:rsidR="00061E49" w:rsidRPr="00061E49" w:rsidTr="00304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90–100%</w:t>
            </w:r>
          </w:p>
        </w:tc>
        <w:tc>
          <w:tcPr>
            <w:tcW w:w="3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t>Strong readiness; approval recommended subject to routine closure of minor findings</w:t>
            </w:r>
          </w:p>
        </w:tc>
      </w:tr>
      <w:tr w:rsidR="00061E49" w:rsidRPr="00061E49" w:rsidTr="00304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75–89%</w:t>
            </w:r>
          </w:p>
        </w:tc>
        <w:tc>
          <w:tcPr>
            <w:tcW w:w="3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t>Conditionally ready; major findings must be corrected within agreed timeframe</w:t>
            </w:r>
          </w:p>
        </w:tc>
      </w:tr>
      <w:tr w:rsidR="00061E49" w:rsidRPr="00061E49" w:rsidTr="00304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60–74%</w:t>
            </w:r>
          </w:p>
        </w:tc>
        <w:tc>
          <w:tcPr>
            <w:tcW w:w="3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t>Significant gaps; approval not recommended until corrective action is verified</w:t>
            </w:r>
          </w:p>
        </w:tc>
      </w:tr>
      <w:tr w:rsidR="00061E49" w:rsidRPr="00061E49" w:rsidTr="00304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Below 60%</w:t>
            </w:r>
          </w:p>
        </w:tc>
        <w:tc>
          <w:tcPr>
            <w:tcW w:w="3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t>System not ready; substantial redevelopment required</w:t>
            </w:r>
          </w:p>
        </w:tc>
      </w:tr>
    </w:tbl>
    <w:p w:rsidR="00410130" w:rsidRPr="00061E49" w:rsidRDefault="00434B33">
      <w:pPr>
        <w:pStyle w:val="Heading1"/>
        <w:rPr>
          <w:color w:val="auto"/>
        </w:rPr>
      </w:pPr>
      <w:bookmarkStart w:id="3" w:name="nonconformity-grading"/>
      <w:bookmarkEnd w:id="2"/>
      <w:r w:rsidRPr="00061E49">
        <w:rPr>
          <w:color w:val="auto"/>
        </w:rPr>
        <w:t>Nonconformity Grading</w:t>
      </w:r>
    </w:p>
    <w:p w:rsidR="00410130" w:rsidRPr="00061E49" w:rsidRDefault="00434B33">
      <w:pPr>
        <w:numPr>
          <w:ilvl w:val="0"/>
          <w:numId w:val="11"/>
        </w:numPr>
      </w:pPr>
      <w:r w:rsidRPr="00061E49">
        <w:rPr>
          <w:b/>
          <w:bCs/>
        </w:rPr>
        <w:t>Critical:</w:t>
      </w:r>
      <w:r w:rsidRPr="00061E49">
        <w:t xml:space="preserve"> confirmed safety, legality, traceability, medication, or gross contamination failure with immediate risk.</w:t>
      </w:r>
    </w:p>
    <w:p w:rsidR="00410130" w:rsidRPr="00061E49" w:rsidRDefault="00434B33">
      <w:pPr>
        <w:numPr>
          <w:ilvl w:val="0"/>
          <w:numId w:val="11"/>
        </w:numPr>
      </w:pPr>
      <w:r w:rsidRPr="00061E49">
        <w:rPr>
          <w:b/>
          <w:bCs/>
        </w:rPr>
        <w:t>Major:</w:t>
      </w:r>
      <w:r w:rsidRPr="00061E49">
        <w:t xml:space="preserve"> system failure that could lead to unsafe feed, wrong species use, mislabeling, significant carry-over, or ineffective recall.</w:t>
      </w:r>
    </w:p>
    <w:p w:rsidR="00410130" w:rsidRPr="00061E49" w:rsidRDefault="00434B33">
      <w:pPr>
        <w:numPr>
          <w:ilvl w:val="0"/>
          <w:numId w:val="11"/>
        </w:numPr>
      </w:pPr>
      <w:r w:rsidRPr="00061E49">
        <w:rPr>
          <w:b/>
          <w:bCs/>
        </w:rPr>
        <w:t>Minor:</w:t>
      </w:r>
      <w:r w:rsidRPr="00061E49">
        <w:t xml:space="preserve"> isolated weakness with limited immediate risk but requiring correction.</w:t>
      </w:r>
    </w:p>
    <w:p w:rsidR="00304980" w:rsidRDefault="00304980" w:rsidP="00304980">
      <w:pPr>
        <w:pStyle w:val="NoSpacing"/>
      </w:pPr>
      <w:bookmarkStart w:id="4" w:name="audit-checklist"/>
      <w:bookmarkEnd w:id="3"/>
    </w:p>
    <w:p w:rsidR="00304980" w:rsidRDefault="00304980" w:rsidP="00304980">
      <w:pPr>
        <w:pStyle w:val="NoSpacing"/>
      </w:pPr>
    </w:p>
    <w:p w:rsidR="00410130" w:rsidRPr="00061E49" w:rsidRDefault="00434B33">
      <w:pPr>
        <w:pStyle w:val="Heading1"/>
        <w:rPr>
          <w:color w:val="auto"/>
        </w:rPr>
      </w:pPr>
      <w:r w:rsidRPr="00061E49">
        <w:rPr>
          <w:color w:val="auto"/>
        </w:rPr>
        <w:lastRenderedPageBreak/>
        <w:t>Audit Checklist</w:t>
      </w:r>
    </w:p>
    <w:p w:rsidR="00410130" w:rsidRPr="00061E49" w:rsidRDefault="00434B33">
      <w:pPr>
        <w:pStyle w:val="Heading2"/>
        <w:rPr>
          <w:color w:val="auto"/>
        </w:rPr>
      </w:pPr>
      <w:bookmarkStart w:id="5" w:name="governance-and-legal-control"/>
      <w:r w:rsidRPr="00061E49">
        <w:rPr>
          <w:color w:val="auto"/>
        </w:rPr>
        <w:t>1. Governance and Legal Control</w:t>
      </w:r>
    </w:p>
    <w:tbl>
      <w:tblPr>
        <w:tblStyle w:val="LightGrid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061"/>
        <w:gridCol w:w="2061"/>
        <w:gridCol w:w="2060"/>
        <w:gridCol w:w="2060"/>
        <w:gridCol w:w="2060"/>
      </w:tblGrid>
      <w:tr w:rsidR="00061E49" w:rsidRPr="00061E49" w:rsidTr="003049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Audit checkpoint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1E49"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No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1E49"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Evidence / notes</w:t>
            </w:r>
          </w:p>
        </w:tc>
      </w:tr>
      <w:tr w:rsidR="00061E49" w:rsidRPr="00061E49" w:rsidTr="00304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Legal approvals are current and match actual activity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Product scope is defined and controlled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Roles are assigned for QA, production, warehouse, maintenance, and dispatch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Management review is conducted at planned intervals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</w:tbl>
    <w:p w:rsidR="00410130" w:rsidRPr="00061E49" w:rsidRDefault="00434B33">
      <w:pPr>
        <w:pStyle w:val="Heading2"/>
        <w:rPr>
          <w:color w:val="auto"/>
        </w:rPr>
      </w:pPr>
      <w:bookmarkStart w:id="6" w:name="haccp-biosecurity-and-premises"/>
      <w:bookmarkEnd w:id="5"/>
      <w:r w:rsidRPr="00061E49">
        <w:rPr>
          <w:color w:val="auto"/>
        </w:rPr>
        <w:t>2. HACCP, Biosecurity, and Premises</w:t>
      </w:r>
    </w:p>
    <w:tbl>
      <w:tblPr>
        <w:tblStyle w:val="LightGrid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061"/>
        <w:gridCol w:w="2061"/>
        <w:gridCol w:w="2060"/>
        <w:gridCol w:w="2060"/>
        <w:gridCol w:w="2060"/>
      </w:tblGrid>
      <w:tr w:rsidR="00061E49" w:rsidRPr="00061E49" w:rsidTr="003049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Audit checkpoint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1E49"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No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1E49"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Evidence / notes</w:t>
            </w:r>
          </w:p>
        </w:tc>
      </w:tr>
      <w:tr w:rsidR="00061E49" w:rsidRPr="00061E49" w:rsidTr="00304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Current process flow and hazard analysis are available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Control points are monitored and records retained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Visitor, contractor, and vehicle controls are implemented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Pest control and housekeeping are effective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</w:tbl>
    <w:p w:rsidR="00410130" w:rsidRPr="00061E49" w:rsidRDefault="00434B33">
      <w:pPr>
        <w:pStyle w:val="Heading2"/>
        <w:rPr>
          <w:color w:val="auto"/>
        </w:rPr>
      </w:pPr>
      <w:bookmarkStart w:id="7" w:name="supplier-approval-and-intake-control"/>
      <w:bookmarkEnd w:id="6"/>
      <w:r w:rsidRPr="00061E49">
        <w:rPr>
          <w:color w:val="auto"/>
        </w:rPr>
        <w:t>3. Supplier Approval and Intake Control</w:t>
      </w:r>
    </w:p>
    <w:tbl>
      <w:tblPr>
        <w:tblStyle w:val="LightGrid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061"/>
        <w:gridCol w:w="2061"/>
        <w:gridCol w:w="2060"/>
        <w:gridCol w:w="2060"/>
        <w:gridCol w:w="2060"/>
      </w:tblGrid>
      <w:tr w:rsidR="00061E49" w:rsidRPr="00061E49" w:rsidTr="003049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Audit checkpoint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1E49"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No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1E49"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Evidence / notes</w:t>
            </w:r>
          </w:p>
        </w:tc>
      </w:tr>
      <w:tr w:rsidR="00061E49" w:rsidRPr="00061E49" w:rsidTr="00304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Suppliers are approved before purchase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High-risk materials are risk-rated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Incoming loads are inspected and sampled where required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Rejected or held materials are segregated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</w:tbl>
    <w:p w:rsidR="00410130" w:rsidRPr="00061E49" w:rsidRDefault="00434B33">
      <w:pPr>
        <w:pStyle w:val="Heading2"/>
        <w:rPr>
          <w:color w:val="auto"/>
        </w:rPr>
      </w:pPr>
      <w:bookmarkStart w:id="8" w:name="manufacturing-and-carry-over-control"/>
      <w:bookmarkEnd w:id="7"/>
      <w:r w:rsidRPr="00061E49">
        <w:rPr>
          <w:color w:val="auto"/>
        </w:rPr>
        <w:lastRenderedPageBreak/>
        <w:t>4. Manufacturing and Carry-over Control</w:t>
      </w:r>
    </w:p>
    <w:tbl>
      <w:tblPr>
        <w:tblStyle w:val="LightGrid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625"/>
        <w:gridCol w:w="543"/>
        <w:gridCol w:w="473"/>
        <w:gridCol w:w="578"/>
        <w:gridCol w:w="1663"/>
      </w:tblGrid>
      <w:tr w:rsidR="00061E49" w:rsidRPr="00061E49" w:rsidTr="003049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Audit checkpoint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1E49"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No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1E49"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Evidence / notes</w:t>
            </w:r>
          </w:p>
        </w:tc>
      </w:tr>
      <w:tr w:rsidR="00061E49" w:rsidRPr="00061E49" w:rsidTr="00304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Only current formulas are issued to production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Line status and changeover controls are documented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Critical devices and scales are checked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Deviations are reviewed before release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</w:tbl>
    <w:p w:rsidR="00410130" w:rsidRPr="00061E49" w:rsidRDefault="00434B33">
      <w:pPr>
        <w:pStyle w:val="Heading2"/>
        <w:rPr>
          <w:color w:val="auto"/>
        </w:rPr>
      </w:pPr>
      <w:bookmarkStart w:id="9" w:name="medicated-feed-labeling-and-release"/>
      <w:bookmarkEnd w:id="8"/>
      <w:r w:rsidRPr="00061E49">
        <w:rPr>
          <w:color w:val="auto"/>
        </w:rPr>
        <w:t>5. Medicated Feed, Labeling, and Release</w:t>
      </w:r>
    </w:p>
    <w:tbl>
      <w:tblPr>
        <w:tblStyle w:val="LightGrid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061"/>
        <w:gridCol w:w="2061"/>
        <w:gridCol w:w="2060"/>
        <w:gridCol w:w="2060"/>
        <w:gridCol w:w="2060"/>
      </w:tblGrid>
      <w:tr w:rsidR="00061E49" w:rsidRPr="00061E49" w:rsidTr="003049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Audit checkpoint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1E49"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No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1E49"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Evidence / notes</w:t>
            </w:r>
          </w:p>
        </w:tc>
      </w:tr>
      <w:tr w:rsidR="00061E49" w:rsidRPr="00061E49" w:rsidTr="00304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Restricted additives are securely controlled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Medicated batches are reconciled and carry-over controls applied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Labels are accurate for identity, lot, warnings, and storage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Release decisions are documented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</w:tbl>
    <w:p w:rsidR="00410130" w:rsidRPr="00061E49" w:rsidRDefault="00434B33">
      <w:pPr>
        <w:pStyle w:val="Heading2"/>
        <w:rPr>
          <w:color w:val="auto"/>
        </w:rPr>
      </w:pPr>
      <w:bookmarkStart w:id="10" w:name="traceability-complaints-and-improvement"/>
      <w:bookmarkEnd w:id="9"/>
      <w:r w:rsidRPr="00061E49">
        <w:rPr>
          <w:color w:val="auto"/>
        </w:rPr>
        <w:t>6. Traceability, Complaints, and Improvement</w:t>
      </w:r>
    </w:p>
    <w:tbl>
      <w:tblPr>
        <w:tblStyle w:val="LightGrid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916"/>
        <w:gridCol w:w="543"/>
        <w:gridCol w:w="473"/>
        <w:gridCol w:w="578"/>
        <w:gridCol w:w="1663"/>
      </w:tblGrid>
      <w:tr w:rsidR="00061E49" w:rsidRPr="00061E49" w:rsidTr="003049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r w:rsidRPr="00061E49">
              <w:t>Audit checkpoint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1E49"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r w:rsidRPr="00061E49">
              <w:t>No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1E49"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r w:rsidRPr="00061E49">
              <w:t>Evidence / notes</w:t>
            </w:r>
          </w:p>
        </w:tc>
      </w:tr>
      <w:tr w:rsidR="00061E49" w:rsidRPr="00061E49" w:rsidTr="00304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r w:rsidRPr="00061E49">
              <w:t>Backward and forward traceability can be demonstrated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 w:rsidP="00304980"/>
        </w:tc>
      </w:tr>
      <w:tr w:rsidR="00061E49" w:rsidRPr="00061E49" w:rsidTr="00304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r w:rsidRPr="00061E49">
              <w:t>Mock recall has been tested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 w:rsidP="00304980"/>
        </w:tc>
      </w:tr>
      <w:tr w:rsidR="00061E49" w:rsidRPr="00061E49" w:rsidTr="00304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r w:rsidRPr="00061E49">
              <w:t>Complaints are investigated and trended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 w:rsidP="00304980"/>
        </w:tc>
      </w:tr>
      <w:tr w:rsidR="00061E49" w:rsidRPr="00061E49" w:rsidTr="00304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r w:rsidRPr="00061E49">
              <w:t>CAPA effectiveness is verified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 w:rsidP="003049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 w:rsidP="00304980"/>
        </w:tc>
      </w:tr>
    </w:tbl>
    <w:p w:rsidR="00410130" w:rsidRPr="00061E49" w:rsidRDefault="00434B33">
      <w:pPr>
        <w:pStyle w:val="Heading1"/>
        <w:rPr>
          <w:color w:val="auto"/>
        </w:rPr>
      </w:pPr>
      <w:bookmarkStart w:id="11" w:name="audit-summary-sheet"/>
      <w:bookmarkEnd w:id="4"/>
      <w:bookmarkEnd w:id="10"/>
      <w:r w:rsidRPr="00061E49">
        <w:rPr>
          <w:color w:val="auto"/>
        </w:rPr>
        <w:t>Audit Summary Sheet</w:t>
      </w:r>
    </w:p>
    <w:tbl>
      <w:tblPr>
        <w:tblStyle w:val="LightGrid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482"/>
        <w:gridCol w:w="870"/>
        <w:gridCol w:w="718"/>
        <w:gridCol w:w="1074"/>
        <w:gridCol w:w="1033"/>
      </w:tblGrid>
      <w:tr w:rsidR="00061E49" w:rsidRPr="00061E49" w:rsidTr="003049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Section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1E49">
              <w:t>Weight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Score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1E49">
              <w:t>NC count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Remarks</w:t>
            </w:r>
          </w:p>
        </w:tc>
      </w:tr>
      <w:tr w:rsidR="00061E49" w:rsidRPr="00061E49" w:rsidTr="00304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Governance and legal control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HACCP and biosecurity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Supplier approval and intake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Manufacturing and carry-over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Medicated feed, labeling, release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t>Traceability, complaints, improvement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1E49"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  <w:tr w:rsidR="00061E49" w:rsidRPr="00061E49" w:rsidTr="00304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r w:rsidRPr="00061E49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3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E49">
              <w:rPr>
                <w:b/>
                <w:bCs/>
              </w:rPr>
              <w:t>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0130" w:rsidRPr="00061E49" w:rsidRDefault="00410130"/>
        </w:tc>
      </w:tr>
    </w:tbl>
    <w:p w:rsidR="00410130" w:rsidRPr="00061E49" w:rsidRDefault="00434B33">
      <w:pPr>
        <w:pStyle w:val="Heading1"/>
        <w:rPr>
          <w:color w:val="auto"/>
        </w:rPr>
      </w:pPr>
      <w:bookmarkStart w:id="12" w:name="auditor-closing-note"/>
      <w:bookmarkEnd w:id="11"/>
      <w:r w:rsidRPr="00061E49">
        <w:rPr>
          <w:color w:val="auto"/>
        </w:rPr>
        <w:t>Auditor Closing Note</w:t>
      </w:r>
    </w:p>
    <w:p w:rsidR="00410130" w:rsidRPr="00061E49" w:rsidRDefault="00434B33">
      <w:r w:rsidRPr="00061E49">
        <w:t>Record the overall recom</w:t>
      </w:r>
      <w:bookmarkStart w:id="13" w:name="_GoBack"/>
      <w:bookmarkEnd w:id="13"/>
      <w:r w:rsidRPr="00061E49">
        <w:t>mendation as: recommended, conditionally recommended, or not recommended. Note any critical findings requiring immediate escalation.</w:t>
      </w:r>
      <w:bookmarkEnd w:id="12"/>
    </w:p>
    <w:sectPr w:rsidR="00410130" w:rsidRPr="00061E49" w:rsidSect="00304980">
      <w:headerReference w:type="default" r:id="rId8"/>
      <w:footerReference w:type="default" r:id="rId9"/>
      <w:pgSz w:w="12240" w:h="15840"/>
      <w:pgMar w:top="630" w:right="1020" w:bottom="907" w:left="1134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677" w:rsidRDefault="005F2677">
      <w:pPr>
        <w:spacing w:after="0" w:line="240" w:lineRule="auto"/>
      </w:pPr>
      <w:r>
        <w:separator/>
      </w:r>
    </w:p>
  </w:endnote>
  <w:endnote w:type="continuationSeparator" w:id="0">
    <w:p w:rsidR="005F2677" w:rsidRDefault="005F2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130" w:rsidRDefault="00434B33">
    <w:pPr>
      <w:pStyle w:val="SmallCapsNote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0498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677" w:rsidRDefault="005F2677">
      <w:r>
        <w:separator/>
      </w:r>
    </w:p>
  </w:footnote>
  <w:footnote w:type="continuationSeparator" w:id="0">
    <w:p w:rsidR="005F2677" w:rsidRDefault="005F2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130" w:rsidRDefault="00434B33">
    <w:pPr>
      <w:pStyle w:val="SmallCapsNote"/>
      <w:jc w:val="right"/>
    </w:pPr>
    <w:r>
      <w:t>Granjero de Bauer Feed Production Standard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A990"/>
    <w:multiLevelType w:val="multilevel"/>
    <w:tmpl w:val="1F58DEB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0">
    <w:nsid w:val="0000A991"/>
    <w:multiLevelType w:val="multilevel"/>
    <w:tmpl w:val="A02E72C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1E49"/>
    <w:rsid w:val="0015074B"/>
    <w:rsid w:val="0029639D"/>
    <w:rsid w:val="00304980"/>
    <w:rsid w:val="00326F90"/>
    <w:rsid w:val="00410130"/>
    <w:rsid w:val="00434B33"/>
    <w:rsid w:val="005F267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/>
    </w:pPr>
    <w:rPr>
      <w:rFonts w:ascii="Aptos" w:eastAsia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over">
    <w:name w:val="TitleCover"/>
    <w:basedOn w:val="Normal"/>
    <w:pPr>
      <w:spacing w:after="160"/>
    </w:pPr>
    <w:rPr>
      <w:rFonts w:ascii="Aptos Display" w:eastAsia="Aptos Display" w:hAnsi="Aptos Display"/>
      <w:b/>
      <w:color w:val="154C38"/>
      <w:sz w:val="48"/>
    </w:rPr>
  </w:style>
  <w:style w:type="paragraph" w:customStyle="1" w:styleId="SubtitleCover">
    <w:name w:val="SubtitleCover"/>
    <w:basedOn w:val="Normal"/>
    <w:pPr>
      <w:spacing w:after="200"/>
    </w:pPr>
    <w:rPr>
      <w:color w:val="5A5A5A"/>
      <w:sz w:val="25"/>
    </w:rPr>
  </w:style>
  <w:style w:type="paragraph" w:customStyle="1" w:styleId="SectionHeading">
    <w:name w:val="SectionHeading"/>
    <w:basedOn w:val="Normal"/>
    <w:pPr>
      <w:spacing w:before="200" w:after="80"/>
      <w:outlineLvl w:val="0"/>
    </w:pPr>
    <w:rPr>
      <w:rFonts w:ascii="Aptos Display" w:eastAsia="Aptos Display" w:hAnsi="Aptos Display"/>
      <w:b/>
      <w:color w:val="154C38"/>
      <w:sz w:val="30"/>
    </w:rPr>
  </w:style>
  <w:style w:type="paragraph" w:customStyle="1" w:styleId="SubHeading">
    <w:name w:val="SubHeading"/>
    <w:basedOn w:val="Normal"/>
    <w:pPr>
      <w:spacing w:before="160" w:after="40"/>
      <w:outlineLvl w:val="1"/>
    </w:pPr>
    <w:rPr>
      <w:b/>
      <w:color w:val="634A19"/>
      <w:sz w:val="23"/>
    </w:rPr>
  </w:style>
  <w:style w:type="paragraph" w:customStyle="1" w:styleId="SmallCapsNote">
    <w:name w:val="SmallCapsNote"/>
    <w:basedOn w:val="Normal"/>
    <w:pPr>
      <w:spacing w:after="40"/>
    </w:pPr>
    <w:rPr>
      <w:smallCaps/>
      <w:color w:val="6E6E6E"/>
      <w:sz w:val="18"/>
    </w:rPr>
  </w:style>
  <w:style w:type="paragraph" w:customStyle="1" w:styleId="BulletTight">
    <w:name w:val="BulletTight"/>
    <w:basedOn w:val="Normal"/>
    <w:pPr>
      <w:spacing w:after="40"/>
      <w:ind w:left="340" w:hanging="198"/>
    </w:pPr>
    <w:rPr>
      <w:sz w:val="20"/>
    </w:rPr>
  </w:style>
  <w:style w:type="paragraph" w:customStyle="1" w:styleId="TOCEntry">
    <w:name w:val="TOCEntry"/>
    <w:basedOn w:val="Normal"/>
    <w:pPr>
      <w:spacing w:after="20"/>
    </w:pPr>
    <w:rPr>
      <w:sz w:val="20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/>
    </w:pPr>
    <w:rPr>
      <w:rFonts w:ascii="Aptos" w:eastAsia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over">
    <w:name w:val="TitleCover"/>
    <w:basedOn w:val="Normal"/>
    <w:pPr>
      <w:spacing w:after="160"/>
    </w:pPr>
    <w:rPr>
      <w:rFonts w:ascii="Aptos Display" w:eastAsia="Aptos Display" w:hAnsi="Aptos Display"/>
      <w:b/>
      <w:color w:val="154C38"/>
      <w:sz w:val="48"/>
    </w:rPr>
  </w:style>
  <w:style w:type="paragraph" w:customStyle="1" w:styleId="SubtitleCover">
    <w:name w:val="SubtitleCover"/>
    <w:basedOn w:val="Normal"/>
    <w:pPr>
      <w:spacing w:after="200"/>
    </w:pPr>
    <w:rPr>
      <w:color w:val="5A5A5A"/>
      <w:sz w:val="25"/>
    </w:rPr>
  </w:style>
  <w:style w:type="paragraph" w:customStyle="1" w:styleId="SectionHeading">
    <w:name w:val="SectionHeading"/>
    <w:basedOn w:val="Normal"/>
    <w:pPr>
      <w:spacing w:before="200" w:after="80"/>
      <w:outlineLvl w:val="0"/>
    </w:pPr>
    <w:rPr>
      <w:rFonts w:ascii="Aptos Display" w:eastAsia="Aptos Display" w:hAnsi="Aptos Display"/>
      <w:b/>
      <w:color w:val="154C38"/>
      <w:sz w:val="30"/>
    </w:rPr>
  </w:style>
  <w:style w:type="paragraph" w:customStyle="1" w:styleId="SubHeading">
    <w:name w:val="SubHeading"/>
    <w:basedOn w:val="Normal"/>
    <w:pPr>
      <w:spacing w:before="160" w:after="40"/>
      <w:outlineLvl w:val="1"/>
    </w:pPr>
    <w:rPr>
      <w:b/>
      <w:color w:val="634A19"/>
      <w:sz w:val="23"/>
    </w:rPr>
  </w:style>
  <w:style w:type="paragraph" w:customStyle="1" w:styleId="SmallCapsNote">
    <w:name w:val="SmallCapsNote"/>
    <w:basedOn w:val="Normal"/>
    <w:pPr>
      <w:spacing w:after="40"/>
    </w:pPr>
    <w:rPr>
      <w:smallCaps/>
      <w:color w:val="6E6E6E"/>
      <w:sz w:val="18"/>
    </w:rPr>
  </w:style>
  <w:style w:type="paragraph" w:customStyle="1" w:styleId="BulletTight">
    <w:name w:val="BulletTight"/>
    <w:basedOn w:val="Normal"/>
    <w:pPr>
      <w:spacing w:after="40"/>
      <w:ind w:left="340" w:hanging="198"/>
    </w:pPr>
    <w:rPr>
      <w:sz w:val="20"/>
    </w:rPr>
  </w:style>
  <w:style w:type="paragraph" w:customStyle="1" w:styleId="TOCEntry">
    <w:name w:val="TOCEntry"/>
    <w:basedOn w:val="Normal"/>
    <w:pPr>
      <w:spacing w:after="20"/>
    </w:pPr>
    <w:rPr>
      <w:sz w:val="20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Granjero de Bauer Feed Production Internal Audit Checklist and Scoring Handbook</dc:title>
  <dc:creator>Audit-ready checklist, evidence prompts, and score chart</dc:creator>
  <cp:keywords/>
  <cp:lastModifiedBy>User</cp:lastModifiedBy>
  <cp:revision>4</cp:revision>
  <dcterms:created xsi:type="dcterms:W3CDTF">2026-03-15T23:27:00Z</dcterms:created>
  <dcterms:modified xsi:type="dcterms:W3CDTF">2026-04-30T16:16:00Z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Document Code: GDB-FPS-AUD-001 | Version 1.0</vt:lpwstr>
  </property>
</Properties>
</file>