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E66" w:rsidRDefault="006F3E66">
      <w:pPr>
        <w:pStyle w:val="berschrift1"/>
        <w:spacing w:before="0" w:line="240" w:lineRule="auto"/>
        <w:jc w:val="center"/>
        <w:rPr>
          <w:b/>
          <w:sz w:val="32"/>
          <w:szCs w:val="32"/>
          <w:lang w:val="en-US"/>
        </w:rPr>
      </w:pPr>
      <w:bookmarkStart w:id="0" w:name="_7dojgym2evjf" w:colFirst="0" w:colLast="0"/>
      <w:bookmarkStart w:id="1" w:name="_Hlk190366439"/>
      <w:bookmarkEnd w:id="0"/>
      <w:bookmarkEnd w:id="1"/>
    </w:p>
    <w:p w:rsidR="00B00804" w:rsidRDefault="00B00804" w:rsidP="00B00804">
      <w:pPr>
        <w:rPr>
          <w:lang w:val="en-US"/>
        </w:rPr>
      </w:pPr>
    </w:p>
    <w:p w:rsidR="00B00804" w:rsidRDefault="00B00804" w:rsidP="00B00804">
      <w:pPr>
        <w:rPr>
          <w:lang w:val="en-US"/>
        </w:rPr>
      </w:pPr>
    </w:p>
    <w:p w:rsidR="00B00804" w:rsidRPr="00B00804" w:rsidRDefault="00B00804" w:rsidP="00B00804">
      <w:pPr>
        <w:rPr>
          <w:lang w:val="en-US"/>
        </w:rPr>
      </w:pPr>
    </w:p>
    <w:p w:rsidR="006F3E66" w:rsidRDefault="006F3E66">
      <w:pPr>
        <w:pStyle w:val="berschrift1"/>
        <w:spacing w:before="0" w:line="240" w:lineRule="auto"/>
        <w:jc w:val="center"/>
        <w:rPr>
          <w:b/>
          <w:sz w:val="32"/>
          <w:szCs w:val="32"/>
          <w:lang w:val="en-US"/>
        </w:rPr>
      </w:pPr>
      <w:r w:rsidRPr="006F3E66">
        <w:rPr>
          <w:b/>
          <w:noProof/>
          <w:sz w:val="32"/>
          <w:szCs w:val="32"/>
          <w:lang w:val="en-US"/>
        </w:rPr>
        <w:drawing>
          <wp:inline distT="0" distB="0" distL="0" distR="0">
            <wp:extent cx="5712504" cy="3962400"/>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627" cy="3970115"/>
                    </a:xfrm>
                    <a:prstGeom prst="rect">
                      <a:avLst/>
                    </a:prstGeom>
                    <a:noFill/>
                    <a:ln>
                      <a:noFill/>
                    </a:ln>
                  </pic:spPr>
                </pic:pic>
              </a:graphicData>
            </a:graphic>
          </wp:inline>
        </w:drawing>
      </w:r>
    </w:p>
    <w:p w:rsidR="006F3E66" w:rsidRDefault="006F3E66">
      <w:pPr>
        <w:pStyle w:val="berschrift1"/>
        <w:spacing w:before="0" w:line="240" w:lineRule="auto"/>
        <w:jc w:val="center"/>
        <w:rPr>
          <w:b/>
          <w:sz w:val="32"/>
          <w:szCs w:val="32"/>
          <w:lang w:val="en-US"/>
        </w:rPr>
      </w:pPr>
    </w:p>
    <w:p w:rsidR="006F3E66" w:rsidRDefault="006F3E66">
      <w:pPr>
        <w:pStyle w:val="berschrift1"/>
        <w:spacing w:before="0" w:line="240" w:lineRule="auto"/>
        <w:jc w:val="center"/>
        <w:rPr>
          <w:b/>
          <w:sz w:val="32"/>
          <w:szCs w:val="32"/>
          <w:lang w:val="en-US"/>
        </w:rPr>
      </w:pPr>
    </w:p>
    <w:p w:rsidR="006F3E66" w:rsidRDefault="006F3E66">
      <w:pPr>
        <w:pStyle w:val="berschrift1"/>
        <w:spacing w:before="0" w:line="240" w:lineRule="auto"/>
        <w:jc w:val="center"/>
        <w:rPr>
          <w:b/>
          <w:sz w:val="32"/>
          <w:szCs w:val="32"/>
          <w:lang w:val="en-US"/>
        </w:rPr>
      </w:pPr>
      <w:r>
        <w:rPr>
          <w:b/>
          <w:sz w:val="32"/>
          <w:szCs w:val="32"/>
          <w:lang w:val="en-US"/>
        </w:rPr>
        <w:t>Synthesis of the discussions</w:t>
      </w:r>
    </w:p>
    <w:p w:rsidR="006F3E66" w:rsidRPr="006F3E66" w:rsidRDefault="006F3E66" w:rsidP="006F3E66">
      <w:pPr>
        <w:jc w:val="center"/>
        <w:rPr>
          <w:lang w:val="en-US"/>
        </w:rPr>
      </w:pPr>
      <w:r>
        <w:rPr>
          <w:lang w:val="en-US"/>
        </w:rPr>
        <w:t>(for internal use only – please do not circulate)</w:t>
      </w:r>
    </w:p>
    <w:p w:rsidR="006F3E66" w:rsidRDefault="006F3E66">
      <w:pPr>
        <w:pStyle w:val="berschrift1"/>
        <w:spacing w:before="0" w:line="240" w:lineRule="auto"/>
        <w:jc w:val="center"/>
        <w:rPr>
          <w:b/>
          <w:sz w:val="32"/>
          <w:szCs w:val="32"/>
          <w:lang w:val="en-US"/>
        </w:rPr>
      </w:pPr>
    </w:p>
    <w:p w:rsidR="00136D05" w:rsidRDefault="00136D05">
      <w:pPr>
        <w:pStyle w:val="berschrift1"/>
        <w:rPr>
          <w:sz w:val="28"/>
          <w:szCs w:val="28"/>
        </w:rPr>
      </w:pPr>
      <w:bookmarkStart w:id="2" w:name="_slsjssdw6pct" w:colFirst="0" w:colLast="0"/>
      <w:bookmarkEnd w:id="2"/>
    </w:p>
    <w:p w:rsidR="00B00804" w:rsidRPr="00B00804" w:rsidRDefault="006F3E66" w:rsidP="00B00804">
      <w:pPr>
        <w:rPr>
          <w:b/>
          <w:sz w:val="28"/>
          <w:szCs w:val="28"/>
        </w:rPr>
      </w:pPr>
      <w:bookmarkStart w:id="3" w:name="_tbrszhv3ch5a" w:colFirst="0" w:colLast="0"/>
      <w:bookmarkEnd w:id="3"/>
      <w:r w:rsidRPr="00B00804">
        <w:rPr>
          <w:sz w:val="28"/>
          <w:szCs w:val="28"/>
        </w:rPr>
        <w:br w:type="page"/>
      </w:r>
      <w:r w:rsidR="00B00804" w:rsidRPr="00B00804">
        <w:rPr>
          <w:b/>
          <w:sz w:val="28"/>
          <w:szCs w:val="28"/>
        </w:rPr>
        <w:lastRenderedPageBreak/>
        <w:t>1.</w:t>
      </w:r>
      <w:r w:rsidR="00B00804">
        <w:rPr>
          <w:sz w:val="28"/>
          <w:szCs w:val="28"/>
        </w:rPr>
        <w:t xml:space="preserve"> </w:t>
      </w:r>
      <w:proofErr w:type="spellStart"/>
      <w:r w:rsidR="005B24D2" w:rsidRPr="00B00804">
        <w:rPr>
          <w:b/>
          <w:sz w:val="28"/>
          <w:szCs w:val="28"/>
        </w:rPr>
        <w:t>Introduction</w:t>
      </w:r>
      <w:proofErr w:type="spellEnd"/>
      <w:r w:rsidR="005B24D2" w:rsidRPr="00B00804">
        <w:rPr>
          <w:b/>
          <w:sz w:val="28"/>
          <w:szCs w:val="28"/>
        </w:rPr>
        <w:t xml:space="preserve"> </w:t>
      </w:r>
    </w:p>
    <w:p w:rsidR="00B00804" w:rsidRPr="00B00804" w:rsidRDefault="00B00804" w:rsidP="00B00804"/>
    <w:p w:rsidR="00136D05" w:rsidRPr="006F3E66" w:rsidRDefault="005B24D2">
      <w:pPr>
        <w:spacing w:line="360" w:lineRule="auto"/>
        <w:jc w:val="both"/>
        <w:rPr>
          <w:highlight w:val="yellow"/>
          <w:lang w:val="en-US"/>
        </w:rPr>
      </w:pPr>
      <w:r w:rsidRPr="006F3E66">
        <w:rPr>
          <w:lang w:val="en-US"/>
        </w:rPr>
        <w:t>O</w:t>
      </w:r>
      <w:r w:rsidRPr="006F3E66">
        <w:rPr>
          <w:lang w:val="en-US"/>
        </w:rPr>
        <w:t xml:space="preserve">n February 6, 2025, the R-Squad organized a workshop on Deep Resilience, bringing together leading international experts in resilience and foresight. </w:t>
      </w:r>
    </w:p>
    <w:p w:rsidR="00136D05" w:rsidRPr="00FF3E75" w:rsidRDefault="005B24D2" w:rsidP="00FF3E75">
      <w:pPr>
        <w:spacing w:line="360" w:lineRule="auto"/>
        <w:jc w:val="both"/>
        <w:rPr>
          <w:lang w:val="en-US"/>
        </w:rPr>
      </w:pPr>
      <w:r w:rsidRPr="006F3E66">
        <w:rPr>
          <w:lang w:val="en-US"/>
        </w:rPr>
        <w:t>The primary aim was to present the R-squads ongoing work and current research questions while facilitati</w:t>
      </w:r>
      <w:r w:rsidRPr="006F3E66">
        <w:rPr>
          <w:lang w:val="en-US"/>
        </w:rPr>
        <w:t>ng a dynamic exchange and interactive brainstorming session to encourage collaboration and inspire innovative ideas.</w:t>
      </w:r>
    </w:p>
    <w:p w:rsidR="00136D05" w:rsidRPr="00FF3E75" w:rsidRDefault="005B24D2" w:rsidP="00B00804">
      <w:pPr>
        <w:pStyle w:val="berschrift1"/>
        <w:rPr>
          <w:b/>
          <w:sz w:val="28"/>
          <w:szCs w:val="28"/>
          <w:lang w:val="en-US"/>
        </w:rPr>
      </w:pPr>
      <w:bookmarkStart w:id="4" w:name="_awdh4jcf3gwg" w:colFirst="0" w:colLast="0"/>
      <w:bookmarkEnd w:id="4"/>
      <w:r w:rsidRPr="006F3E66">
        <w:rPr>
          <w:b/>
          <w:sz w:val="28"/>
          <w:szCs w:val="28"/>
          <w:lang w:val="en-US"/>
        </w:rPr>
        <w:t xml:space="preserve"> </w:t>
      </w:r>
      <w:r w:rsidR="00B00804">
        <w:rPr>
          <w:b/>
          <w:sz w:val="28"/>
          <w:szCs w:val="28"/>
          <w:lang w:val="en-US"/>
        </w:rPr>
        <w:t xml:space="preserve">2. </w:t>
      </w:r>
      <w:r w:rsidRPr="00FF3E75">
        <w:rPr>
          <w:b/>
          <w:sz w:val="28"/>
          <w:szCs w:val="28"/>
          <w:lang w:val="en-US"/>
        </w:rPr>
        <w:t>The R-S</w:t>
      </w:r>
      <w:r w:rsidR="00FF3E75" w:rsidRPr="00FF3E75">
        <w:rPr>
          <w:b/>
          <w:sz w:val="28"/>
          <w:szCs w:val="28"/>
          <w:lang w:val="en-US"/>
        </w:rPr>
        <w:t>QUAD</w:t>
      </w:r>
    </w:p>
    <w:p w:rsidR="006F3E66" w:rsidRPr="00FF3E75" w:rsidRDefault="005B24D2">
      <w:pPr>
        <w:spacing w:line="360" w:lineRule="auto"/>
        <w:jc w:val="both"/>
        <w:rPr>
          <w:lang w:val="en-US"/>
        </w:rPr>
      </w:pPr>
      <w:r w:rsidRPr="006F3E66">
        <w:rPr>
          <w:lang w:val="en-US"/>
        </w:rPr>
        <w:t>The R</w:t>
      </w:r>
      <w:r w:rsidRPr="006F3E66">
        <w:rPr>
          <w:lang w:val="en-US"/>
        </w:rPr>
        <w:t xml:space="preserve">-SQUAD is an international, multidisciplinary research initiative led by </w:t>
      </w:r>
      <w:r w:rsidR="00FF3E75">
        <w:rPr>
          <w:lang w:val="en-US"/>
        </w:rPr>
        <w:t xml:space="preserve">the </w:t>
      </w:r>
      <w:r w:rsidRPr="006F3E66">
        <w:rPr>
          <w:lang w:val="en-US"/>
        </w:rPr>
        <w:t xml:space="preserve">University of Applied Sciences </w:t>
      </w:r>
      <w:proofErr w:type="spellStart"/>
      <w:r w:rsidR="00FF3E75" w:rsidRPr="006F3E66">
        <w:rPr>
          <w:lang w:val="en-US"/>
        </w:rPr>
        <w:t>Kehl</w:t>
      </w:r>
      <w:proofErr w:type="spellEnd"/>
      <w:r w:rsidR="00FF3E75" w:rsidRPr="006F3E66">
        <w:rPr>
          <w:lang w:val="en-US"/>
        </w:rPr>
        <w:t xml:space="preserve"> </w:t>
      </w:r>
      <w:r w:rsidRPr="006F3E66">
        <w:rPr>
          <w:lang w:val="en-US"/>
        </w:rPr>
        <w:t>a</w:t>
      </w:r>
      <w:r w:rsidRPr="006F3E66">
        <w:rPr>
          <w:lang w:val="en-US"/>
        </w:rPr>
        <w:t xml:space="preserve">nd the University of Strasbourg, dedicated to strengthening local-level resilience in the face of crises. Currently the Squad is working on three projects: 1. Interreg Project </w:t>
      </w:r>
      <w:proofErr w:type="spellStart"/>
      <w:r w:rsidRPr="006F3E66">
        <w:rPr>
          <w:lang w:val="en-US"/>
        </w:rPr>
        <w:t>Rhenus</w:t>
      </w:r>
      <w:proofErr w:type="spellEnd"/>
      <w:r w:rsidRPr="006F3E66">
        <w:rPr>
          <w:lang w:val="en-US"/>
        </w:rPr>
        <w:t xml:space="preserve"> et </w:t>
      </w:r>
      <w:proofErr w:type="spellStart"/>
      <w:r w:rsidRPr="006F3E66">
        <w:rPr>
          <w:lang w:val="en-US"/>
        </w:rPr>
        <w:t>Resilire</w:t>
      </w:r>
      <w:proofErr w:type="spellEnd"/>
      <w:r w:rsidRPr="006F3E66">
        <w:rPr>
          <w:lang w:val="en-US"/>
        </w:rPr>
        <w:t xml:space="preserve"> (R&amp;R); 2. IMMER (Increasing Municipal Mobility and Energy Res</w:t>
      </w:r>
      <w:r w:rsidRPr="006F3E66">
        <w:rPr>
          <w:lang w:val="en-US"/>
        </w:rPr>
        <w:t xml:space="preserve">ilience) funded by Horizon EU; 3. </w:t>
      </w:r>
      <w:proofErr w:type="spellStart"/>
      <w:r w:rsidRPr="00FF3E75">
        <w:rPr>
          <w:lang w:val="en-US"/>
        </w:rPr>
        <w:t>InnoLo</w:t>
      </w:r>
      <w:r w:rsidR="00FF3E75" w:rsidRPr="00FF3E75">
        <w:rPr>
          <w:lang w:val="en-US"/>
        </w:rPr>
        <w:t>K</w:t>
      </w:r>
      <w:proofErr w:type="spellEnd"/>
      <w:r w:rsidR="00FF3E75" w:rsidRPr="00FF3E75">
        <w:rPr>
          <w:lang w:val="en-US"/>
        </w:rPr>
        <w:t xml:space="preserve">, </w:t>
      </w:r>
      <w:r w:rsidRPr="00FF3E75">
        <w:rPr>
          <w:lang w:val="en-US"/>
        </w:rPr>
        <w:t xml:space="preserve">funded by </w:t>
      </w:r>
      <w:r w:rsidR="00FF3E75" w:rsidRPr="00FF3E75">
        <w:rPr>
          <w:lang w:val="en-US"/>
        </w:rPr>
        <w:t>the German F</w:t>
      </w:r>
      <w:r w:rsidR="00FF3E75">
        <w:rPr>
          <w:lang w:val="en-US"/>
        </w:rPr>
        <w:t>ederal Ministry of Research.</w:t>
      </w:r>
    </w:p>
    <w:p w:rsidR="006F3E66" w:rsidRPr="00FF3E75" w:rsidRDefault="006F3E66">
      <w:pPr>
        <w:spacing w:line="360" w:lineRule="auto"/>
        <w:jc w:val="both"/>
        <w:rPr>
          <w:lang w:val="en-US"/>
        </w:rPr>
      </w:pPr>
    </w:p>
    <w:p w:rsidR="006F3E66" w:rsidRPr="00FF3E75" w:rsidRDefault="006F3E66" w:rsidP="006F3E66">
      <w:pPr>
        <w:rPr>
          <w:b/>
          <w:lang w:val="en-US"/>
        </w:rPr>
      </w:pPr>
      <w:r w:rsidRPr="00FF3E75">
        <w:rPr>
          <w:b/>
          <w:lang w:val="en-US"/>
        </w:rPr>
        <w:t xml:space="preserve">Figure 1 - The Resilience Squad </w:t>
      </w:r>
    </w:p>
    <w:p w:rsidR="006F3E66" w:rsidRPr="00FF3E75" w:rsidRDefault="006F3E66">
      <w:pPr>
        <w:spacing w:line="360" w:lineRule="auto"/>
        <w:jc w:val="both"/>
        <w:rPr>
          <w:lang w:val="en-US"/>
        </w:rPr>
      </w:pPr>
    </w:p>
    <w:p w:rsidR="00136D05" w:rsidRPr="00FF3E75" w:rsidRDefault="00136D05">
      <w:pPr>
        <w:spacing w:line="259" w:lineRule="auto"/>
        <w:jc w:val="both"/>
        <w:rPr>
          <w:rFonts w:ascii="Calibri" w:eastAsia="Calibri" w:hAnsi="Calibri" w:cs="Calibri"/>
          <w:lang w:val="en-US"/>
        </w:rPr>
      </w:pPr>
    </w:p>
    <w:p w:rsidR="00136D05" w:rsidRDefault="005B24D2" w:rsidP="006F3E66">
      <w:pPr>
        <w:jc w:val="center"/>
      </w:pPr>
      <w:r>
        <w:rPr>
          <w:noProof/>
        </w:rPr>
        <w:drawing>
          <wp:inline distT="114300" distB="114300" distL="114300" distR="114300">
            <wp:extent cx="4371975" cy="3724275"/>
            <wp:effectExtent l="0" t="0" r="9525" b="9525"/>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13071" r="12636"/>
                    <a:stretch>
                      <a:fillRect/>
                    </a:stretch>
                  </pic:blipFill>
                  <pic:spPr>
                    <a:xfrm>
                      <a:off x="0" y="0"/>
                      <a:ext cx="4371975" cy="3724275"/>
                    </a:xfrm>
                    <a:prstGeom prst="rect">
                      <a:avLst/>
                    </a:prstGeom>
                    <a:ln/>
                  </pic:spPr>
                </pic:pic>
              </a:graphicData>
            </a:graphic>
          </wp:inline>
        </w:drawing>
      </w:r>
    </w:p>
    <w:p w:rsidR="00136D05" w:rsidRPr="00B00804" w:rsidRDefault="00B00804" w:rsidP="00FF3E75">
      <w:pPr>
        <w:pStyle w:val="berschrift1"/>
        <w:spacing w:line="360" w:lineRule="auto"/>
        <w:rPr>
          <w:b/>
          <w:sz w:val="28"/>
          <w:szCs w:val="28"/>
          <w:lang w:val="en-US"/>
        </w:rPr>
      </w:pPr>
      <w:bookmarkStart w:id="5" w:name="_muzb8i9yvm13" w:colFirst="0" w:colLast="0"/>
      <w:bookmarkEnd w:id="5"/>
      <w:r w:rsidRPr="00B00804">
        <w:rPr>
          <w:b/>
          <w:sz w:val="28"/>
          <w:szCs w:val="28"/>
          <w:lang w:val="en-US"/>
        </w:rPr>
        <w:lastRenderedPageBreak/>
        <w:t xml:space="preserve">3. </w:t>
      </w:r>
      <w:r w:rsidR="005B24D2" w:rsidRPr="00B00804">
        <w:rPr>
          <w:b/>
          <w:sz w:val="28"/>
          <w:szCs w:val="28"/>
          <w:lang w:val="en-US"/>
        </w:rPr>
        <w:t>The Concept of Deep Resilience</w:t>
      </w:r>
    </w:p>
    <w:p w:rsidR="006F3E66" w:rsidRDefault="005B24D2" w:rsidP="00FF3E75">
      <w:pPr>
        <w:spacing w:line="360" w:lineRule="auto"/>
        <w:jc w:val="both"/>
        <w:rPr>
          <w:lang w:val="en-US"/>
        </w:rPr>
      </w:pPr>
      <w:r w:rsidRPr="006F3E66">
        <w:rPr>
          <w:lang w:val="en-US"/>
        </w:rPr>
        <w:t>In the framework of its research a</w:t>
      </w:r>
      <w:r w:rsidRPr="006F3E66">
        <w:rPr>
          <w:lang w:val="en-US"/>
        </w:rPr>
        <w:t xml:space="preserve">ctivities, the R-Squad developed the </w:t>
      </w:r>
      <w:r w:rsidRPr="006F3E66">
        <w:rPr>
          <w:i/>
          <w:lang w:val="en-US"/>
        </w:rPr>
        <w:t xml:space="preserve">concept of Deep-Resilience </w:t>
      </w:r>
      <w:r w:rsidRPr="006F3E66">
        <w:rPr>
          <w:lang w:val="en-US"/>
        </w:rPr>
        <w:t xml:space="preserve">based on the meta-capability-approach by </w:t>
      </w:r>
      <w:proofErr w:type="spellStart"/>
      <w:r w:rsidRPr="006F3E66">
        <w:rPr>
          <w:lang w:val="en-US"/>
        </w:rPr>
        <w:t>Duchek</w:t>
      </w:r>
      <w:proofErr w:type="spellEnd"/>
      <w:r w:rsidRPr="006F3E66">
        <w:rPr>
          <w:lang w:val="en-US"/>
        </w:rPr>
        <w:t xml:space="preserve"> (2020). It is represented by the Deep-Resilience Cube (see image 2). The concept is </w:t>
      </w:r>
      <w:r w:rsidR="006F3E66">
        <w:rPr>
          <w:lang w:val="en-US"/>
        </w:rPr>
        <w:t>detailed in Muller et al. (2024).</w:t>
      </w:r>
    </w:p>
    <w:p w:rsidR="006F3E66" w:rsidRPr="006F3E66" w:rsidRDefault="006F3E66" w:rsidP="00FF3E75">
      <w:pPr>
        <w:spacing w:line="360" w:lineRule="auto"/>
        <w:jc w:val="both"/>
        <w:rPr>
          <w:lang w:val="en-US"/>
        </w:rPr>
      </w:pPr>
    </w:p>
    <w:p w:rsidR="006F3E66" w:rsidRPr="006F3E66" w:rsidRDefault="006F3E66" w:rsidP="00FF3E75">
      <w:pPr>
        <w:spacing w:line="360" w:lineRule="auto"/>
        <w:rPr>
          <w:b/>
          <w:lang w:val="en-US"/>
        </w:rPr>
      </w:pPr>
      <w:r w:rsidRPr="006F3E66">
        <w:rPr>
          <w:b/>
          <w:lang w:val="en-US"/>
        </w:rPr>
        <w:t xml:space="preserve">Figure </w:t>
      </w:r>
      <w:proofErr w:type="gramStart"/>
      <w:r w:rsidRPr="006F3E66">
        <w:rPr>
          <w:b/>
          <w:lang w:val="en-US"/>
        </w:rPr>
        <w:t>2 :</w:t>
      </w:r>
      <w:proofErr w:type="gramEnd"/>
      <w:r w:rsidRPr="006F3E66">
        <w:rPr>
          <w:b/>
          <w:lang w:val="en-US"/>
        </w:rPr>
        <w:t xml:space="preserve"> The Deep Resilience Cube</w:t>
      </w:r>
    </w:p>
    <w:p w:rsidR="00136D05" w:rsidRPr="006F3E66" w:rsidRDefault="00136D05" w:rsidP="00FF3E75">
      <w:pPr>
        <w:spacing w:line="360" w:lineRule="auto"/>
        <w:rPr>
          <w:lang w:val="en-US"/>
        </w:rPr>
      </w:pPr>
    </w:p>
    <w:p w:rsidR="00136D05" w:rsidRDefault="00136D05" w:rsidP="00FF3E75">
      <w:pPr>
        <w:spacing w:line="360" w:lineRule="auto"/>
      </w:pPr>
    </w:p>
    <w:p w:rsidR="00136D05" w:rsidRPr="006F3E66" w:rsidRDefault="006F3E66" w:rsidP="00FF3E75">
      <w:pPr>
        <w:spacing w:line="360" w:lineRule="auto"/>
        <w:rPr>
          <w:lang w:val="en-US"/>
        </w:rPr>
      </w:pPr>
      <w:r w:rsidRPr="006F3E66">
        <w:rPr>
          <w:noProof/>
          <w:lang w:val="en-US"/>
        </w:rPr>
        <w:drawing>
          <wp:inline distT="0" distB="0" distL="0" distR="0">
            <wp:extent cx="5885917" cy="3300730"/>
            <wp:effectExtent l="0" t="0" r="63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1639" cy="3303939"/>
                    </a:xfrm>
                    <a:prstGeom prst="rect">
                      <a:avLst/>
                    </a:prstGeom>
                    <a:noFill/>
                    <a:ln>
                      <a:noFill/>
                    </a:ln>
                  </pic:spPr>
                </pic:pic>
              </a:graphicData>
            </a:graphic>
          </wp:inline>
        </w:drawing>
      </w:r>
    </w:p>
    <w:p w:rsidR="00136D05" w:rsidRPr="006F3E66" w:rsidRDefault="00136D05" w:rsidP="00FF3E75">
      <w:pPr>
        <w:spacing w:line="360" w:lineRule="auto"/>
        <w:rPr>
          <w:lang w:val="en-US"/>
        </w:rPr>
      </w:pPr>
    </w:p>
    <w:p w:rsidR="00136D05" w:rsidRPr="006F3E66" w:rsidRDefault="005B24D2" w:rsidP="00FF3E75">
      <w:pPr>
        <w:spacing w:line="360" w:lineRule="auto"/>
        <w:rPr>
          <w:b/>
          <w:lang w:val="en-US"/>
        </w:rPr>
      </w:pPr>
      <w:r w:rsidRPr="006F3E66">
        <w:rPr>
          <w:b/>
          <w:lang w:val="en-US"/>
        </w:rPr>
        <w:t xml:space="preserve"> Notes from the discussion: </w:t>
      </w:r>
    </w:p>
    <w:p w:rsidR="00136D05" w:rsidRPr="006F3E66" w:rsidRDefault="005B24D2" w:rsidP="00FF3E75">
      <w:pPr>
        <w:numPr>
          <w:ilvl w:val="0"/>
          <w:numId w:val="14"/>
        </w:numPr>
        <w:spacing w:before="240" w:line="360" w:lineRule="auto"/>
        <w:jc w:val="both"/>
        <w:rPr>
          <w:rFonts w:ascii="Calibri" w:eastAsia="Calibri" w:hAnsi="Calibri" w:cs="Calibri"/>
          <w:lang w:val="en-US"/>
        </w:rPr>
      </w:pPr>
      <w:r w:rsidRPr="006F3E66">
        <w:rPr>
          <w:lang w:val="en-US"/>
        </w:rPr>
        <w:t>The graph (cube) is somewhat misleading as it implies that increasing the number of layers, actors, and capabilities automatically results in a deeper level of resilience.</w:t>
      </w:r>
    </w:p>
    <w:p w:rsidR="00136D05" w:rsidRPr="006F3E66" w:rsidRDefault="005B24D2" w:rsidP="00FF3E75">
      <w:pPr>
        <w:numPr>
          <w:ilvl w:val="0"/>
          <w:numId w:val="14"/>
        </w:numPr>
        <w:spacing w:line="360" w:lineRule="auto"/>
        <w:jc w:val="both"/>
        <w:rPr>
          <w:lang w:val="en-US"/>
        </w:rPr>
      </w:pPr>
      <w:r w:rsidRPr="006F3E66">
        <w:rPr>
          <w:lang w:val="en-US"/>
        </w:rPr>
        <w:t xml:space="preserve">The graph (cube) is too simple since some critical dimensions are overlooked: Where </w:t>
      </w:r>
      <w:r w:rsidRPr="006F3E66">
        <w:rPr>
          <w:lang w:val="en-US"/>
        </w:rPr>
        <w:t>is the transformative aspect, the time aspect, the interdependencies of variables, including feedback loops and system dynamics</w:t>
      </w:r>
    </w:p>
    <w:p w:rsidR="00136D05" w:rsidRPr="006F3E66" w:rsidRDefault="005B24D2" w:rsidP="00FF3E75">
      <w:pPr>
        <w:numPr>
          <w:ilvl w:val="0"/>
          <w:numId w:val="14"/>
        </w:numPr>
        <w:spacing w:line="360" w:lineRule="auto"/>
        <w:jc w:val="both"/>
        <w:rPr>
          <w:rFonts w:ascii="Calibri" w:eastAsia="Calibri" w:hAnsi="Calibri" w:cs="Calibri"/>
          <w:lang w:val="en-US"/>
        </w:rPr>
      </w:pPr>
      <w:r w:rsidRPr="006F3E66">
        <w:rPr>
          <w:lang w:val="en-US"/>
        </w:rPr>
        <w:t>Is the representation meant to depict a process? If so, a timeline is missing. If it portrays a property, then the agent needs t</w:t>
      </w:r>
      <w:r w:rsidRPr="006F3E66">
        <w:rPr>
          <w:lang w:val="en-US"/>
        </w:rPr>
        <w:t>o be identified. (Perhaps it starts as a property and later evolves into a process.)</w:t>
      </w:r>
    </w:p>
    <w:p w:rsidR="00136D05" w:rsidRPr="00381440" w:rsidRDefault="005B24D2" w:rsidP="00FF3E75">
      <w:pPr>
        <w:numPr>
          <w:ilvl w:val="0"/>
          <w:numId w:val="14"/>
        </w:numPr>
        <w:spacing w:line="360" w:lineRule="auto"/>
        <w:jc w:val="both"/>
        <w:rPr>
          <w:rFonts w:ascii="Calibri" w:eastAsia="Calibri" w:hAnsi="Calibri" w:cs="Calibri"/>
          <w:lang w:val="en-US"/>
        </w:rPr>
      </w:pPr>
      <w:r w:rsidRPr="006F3E66">
        <w:rPr>
          <w:lang w:val="en-US"/>
        </w:rPr>
        <w:lastRenderedPageBreak/>
        <w:t xml:space="preserve">The term </w:t>
      </w:r>
      <w:r w:rsidRPr="006F3E66">
        <w:rPr>
          <w:i/>
          <w:lang w:val="en-US"/>
        </w:rPr>
        <w:t>“deep” resilience</w:t>
      </w:r>
      <w:r w:rsidRPr="006F3E66">
        <w:rPr>
          <w:lang w:val="en-US"/>
        </w:rPr>
        <w:t xml:space="preserve"> is appropriate because it evokes qualities such as being antifragile, deeply rooted, and long-lasting. In this context, the concept of </w:t>
      </w:r>
      <w:r w:rsidRPr="006F3E66">
        <w:rPr>
          <w:i/>
          <w:lang w:val="en-US"/>
        </w:rPr>
        <w:t>“integrat</w:t>
      </w:r>
      <w:r w:rsidRPr="006F3E66">
        <w:rPr>
          <w:i/>
          <w:lang w:val="en-US"/>
        </w:rPr>
        <w:t>ed resilience”</w:t>
      </w:r>
      <w:r w:rsidRPr="006F3E66">
        <w:rPr>
          <w:lang w:val="en-US"/>
        </w:rPr>
        <w:t xml:space="preserve"> closely aligns with deep resilience.</w:t>
      </w:r>
    </w:p>
    <w:p w:rsidR="00136D05" w:rsidRPr="006F3E66" w:rsidRDefault="005B24D2" w:rsidP="00FF3E75">
      <w:pPr>
        <w:numPr>
          <w:ilvl w:val="0"/>
          <w:numId w:val="14"/>
        </w:numPr>
        <w:spacing w:line="360" w:lineRule="auto"/>
        <w:jc w:val="both"/>
        <w:rPr>
          <w:rFonts w:ascii="Calibri" w:eastAsia="Calibri" w:hAnsi="Calibri" w:cs="Calibri"/>
          <w:lang w:val="en-US"/>
        </w:rPr>
      </w:pPr>
      <w:r w:rsidRPr="006F3E66">
        <w:rPr>
          <w:lang w:val="en-US"/>
        </w:rPr>
        <w:t xml:space="preserve">A valuable approach would be to combine different perspectives and clarify how these views are interconnected. This raises the fundamental question: What exactly do we mean by </w:t>
      </w:r>
      <w:r w:rsidRPr="006F3E66">
        <w:rPr>
          <w:i/>
          <w:lang w:val="en-US"/>
        </w:rPr>
        <w:t>deep resilience</w:t>
      </w:r>
      <w:r w:rsidRPr="006F3E66">
        <w:rPr>
          <w:lang w:val="en-US"/>
        </w:rPr>
        <w:t>?</w:t>
      </w:r>
    </w:p>
    <w:p w:rsidR="00136D05" w:rsidRPr="006F3E66" w:rsidRDefault="005B24D2" w:rsidP="00FF3E75">
      <w:pPr>
        <w:numPr>
          <w:ilvl w:val="0"/>
          <w:numId w:val="16"/>
        </w:numPr>
        <w:spacing w:line="360" w:lineRule="auto"/>
        <w:jc w:val="both"/>
        <w:rPr>
          <w:lang w:val="en-US"/>
        </w:rPr>
      </w:pPr>
      <w:r w:rsidRPr="006F3E66">
        <w:rPr>
          <w:lang w:val="en-US"/>
        </w:rPr>
        <w:t xml:space="preserve">Should the </w:t>
      </w:r>
      <w:r w:rsidRPr="006F3E66">
        <w:rPr>
          <w:lang w:val="en-US"/>
        </w:rPr>
        <w:t xml:space="preserve">focus be on </w:t>
      </w:r>
      <w:r w:rsidRPr="006F3E66">
        <w:rPr>
          <w:i/>
          <w:lang w:val="en-US"/>
        </w:rPr>
        <w:t>synergies</w:t>
      </w:r>
      <w:r w:rsidRPr="006F3E66">
        <w:rPr>
          <w:lang w:val="en-US"/>
        </w:rPr>
        <w:t xml:space="preserve"> rather than merely involving multiple actors?</w:t>
      </w:r>
    </w:p>
    <w:p w:rsidR="00136D05" w:rsidRPr="006F3E66" w:rsidRDefault="005B24D2" w:rsidP="00FF3E75">
      <w:pPr>
        <w:numPr>
          <w:ilvl w:val="0"/>
          <w:numId w:val="16"/>
        </w:numPr>
        <w:spacing w:line="360" w:lineRule="auto"/>
        <w:jc w:val="both"/>
        <w:rPr>
          <w:lang w:val="en-US"/>
        </w:rPr>
      </w:pPr>
      <w:r w:rsidRPr="006F3E66">
        <w:rPr>
          <w:lang w:val="en-US"/>
        </w:rPr>
        <w:t>More is not always better.</w:t>
      </w:r>
    </w:p>
    <w:p w:rsidR="00136D05" w:rsidRPr="006F3E66" w:rsidRDefault="005B24D2" w:rsidP="00FF3E75">
      <w:pPr>
        <w:numPr>
          <w:ilvl w:val="0"/>
          <w:numId w:val="11"/>
        </w:numPr>
        <w:spacing w:after="240" w:line="360" w:lineRule="auto"/>
        <w:jc w:val="both"/>
        <w:rPr>
          <w:lang w:val="en-US"/>
        </w:rPr>
      </w:pPr>
      <w:r w:rsidRPr="006F3E66">
        <w:rPr>
          <w:lang w:val="en-US"/>
        </w:rPr>
        <w:t xml:space="preserve">Finally, is there a final destination for resilience that can be described as truly </w:t>
      </w:r>
      <w:r w:rsidRPr="006F3E66">
        <w:rPr>
          <w:i/>
          <w:lang w:val="en-US"/>
        </w:rPr>
        <w:t>deep</w:t>
      </w:r>
      <w:r w:rsidRPr="006F3E66">
        <w:rPr>
          <w:lang w:val="en-US"/>
        </w:rPr>
        <w:t xml:space="preserve">? We need to clearly define what makes resilience </w:t>
      </w:r>
      <w:r w:rsidRPr="006F3E66">
        <w:rPr>
          <w:i/>
          <w:lang w:val="en-US"/>
        </w:rPr>
        <w:t>deep</w:t>
      </w:r>
      <w:r w:rsidRPr="006F3E66">
        <w:rPr>
          <w:lang w:val="en-US"/>
        </w:rPr>
        <w:t xml:space="preserve"> and distinguish it from what is not.</w:t>
      </w:r>
    </w:p>
    <w:p w:rsidR="00136D05" w:rsidRDefault="005B24D2" w:rsidP="00FF3E75">
      <w:pPr>
        <w:spacing w:before="240" w:after="240" w:line="360" w:lineRule="auto"/>
        <w:rPr>
          <w:b/>
          <w:lang w:val="en-US"/>
        </w:rPr>
      </w:pPr>
      <w:r w:rsidRPr="006F3E66">
        <w:rPr>
          <w:b/>
          <w:lang w:val="en-US"/>
        </w:rPr>
        <w:t>References</w:t>
      </w:r>
    </w:p>
    <w:p w:rsidR="00B00804" w:rsidRPr="00B00804" w:rsidRDefault="00B00804" w:rsidP="00FF3E75">
      <w:pPr>
        <w:spacing w:before="240" w:after="240" w:line="360" w:lineRule="auto"/>
        <w:rPr>
          <w:lang w:val="en-US"/>
        </w:rPr>
      </w:pPr>
      <w:proofErr w:type="spellStart"/>
      <w:r w:rsidRPr="00B00804">
        <w:rPr>
          <w:lang w:val="en-US"/>
        </w:rPr>
        <w:t>Duchek</w:t>
      </w:r>
      <w:proofErr w:type="spellEnd"/>
      <w:r w:rsidRPr="00B00804">
        <w:rPr>
          <w:lang w:val="en-US"/>
        </w:rPr>
        <w:t xml:space="preserve"> S. (2020). Organizational resilience: a capability-based conceptualization. Business Research, Vol. 13, pp. 215-246. </w:t>
      </w:r>
      <w:hyperlink r:id="rId10" w:history="1">
        <w:r w:rsidRPr="00B00804">
          <w:rPr>
            <w:rStyle w:val="Hyperlink"/>
            <w:lang w:val="en-US"/>
          </w:rPr>
          <w:t>https://doi.org/10.1007/s40685-019-0085-7</w:t>
        </w:r>
      </w:hyperlink>
    </w:p>
    <w:p w:rsidR="00B00804" w:rsidRPr="00B00804" w:rsidRDefault="00B00804" w:rsidP="00FF3E75">
      <w:pPr>
        <w:spacing w:before="240" w:after="240" w:line="360" w:lineRule="auto"/>
        <w:rPr>
          <w:lang w:val="en-US"/>
        </w:rPr>
      </w:pPr>
      <w:r w:rsidRPr="00B00804">
        <w:rPr>
          <w:lang w:val="en-US"/>
        </w:rPr>
        <w:t xml:space="preserve">Muller, E., </w:t>
      </w:r>
      <w:proofErr w:type="spellStart"/>
      <w:r w:rsidRPr="00B00804">
        <w:rPr>
          <w:lang w:val="en-US"/>
        </w:rPr>
        <w:t>Bellaj</w:t>
      </w:r>
      <w:proofErr w:type="spellEnd"/>
      <w:r w:rsidRPr="00B00804">
        <w:rPr>
          <w:lang w:val="en-US"/>
        </w:rPr>
        <w:t xml:space="preserve">, A., Bischoff, L., </w:t>
      </w:r>
      <w:proofErr w:type="spellStart"/>
      <w:r w:rsidRPr="00B00804">
        <w:rPr>
          <w:lang w:val="en-US"/>
        </w:rPr>
        <w:t>Djuricic</w:t>
      </w:r>
      <w:proofErr w:type="spellEnd"/>
      <w:r w:rsidRPr="00B00804">
        <w:rPr>
          <w:lang w:val="en-US"/>
        </w:rPr>
        <w:t xml:space="preserve">, K., </w:t>
      </w:r>
      <w:proofErr w:type="spellStart"/>
      <w:r w:rsidRPr="00B00804">
        <w:rPr>
          <w:lang w:val="en-US"/>
        </w:rPr>
        <w:t>Jülicher</w:t>
      </w:r>
      <w:proofErr w:type="spellEnd"/>
      <w:r w:rsidRPr="00B00804">
        <w:rPr>
          <w:lang w:val="en-US"/>
        </w:rPr>
        <w:t xml:space="preserve">, M., </w:t>
      </w:r>
      <w:proofErr w:type="spellStart"/>
      <w:r w:rsidRPr="00B00804">
        <w:rPr>
          <w:lang w:val="en-US"/>
        </w:rPr>
        <w:t>Gnamm</w:t>
      </w:r>
      <w:proofErr w:type="spellEnd"/>
      <w:r w:rsidRPr="00B00804">
        <w:rPr>
          <w:lang w:val="en-US"/>
        </w:rPr>
        <w:t xml:space="preserve">, M.-B., Martins, L., Raffin, D. (2024a). Deep resilience - Towards a working definition. </w:t>
      </w:r>
      <w:proofErr w:type="spellStart"/>
      <w:r w:rsidRPr="00B00804">
        <w:rPr>
          <w:lang w:val="en-US"/>
        </w:rPr>
        <w:t>evoREG</w:t>
      </w:r>
      <w:proofErr w:type="spellEnd"/>
      <w:r w:rsidRPr="00B00804">
        <w:rPr>
          <w:lang w:val="en-US"/>
        </w:rPr>
        <w:t xml:space="preserve"> Research Note #48.  https://doi.org/10.24406/publica-3909</w:t>
      </w:r>
    </w:p>
    <w:p w:rsidR="00136D05" w:rsidRPr="006F3E66" w:rsidRDefault="005B24D2" w:rsidP="00FF3E75">
      <w:pPr>
        <w:pStyle w:val="berschrift1"/>
        <w:numPr>
          <w:ilvl w:val="0"/>
          <w:numId w:val="20"/>
        </w:numPr>
        <w:spacing w:line="360" w:lineRule="auto"/>
        <w:rPr>
          <w:b/>
          <w:sz w:val="30"/>
          <w:szCs w:val="30"/>
        </w:rPr>
      </w:pPr>
      <w:bookmarkStart w:id="6" w:name="_kqhykwfrgad4" w:colFirst="0" w:colLast="0"/>
      <w:bookmarkEnd w:id="6"/>
      <w:proofErr w:type="spellStart"/>
      <w:r w:rsidRPr="006F3E66">
        <w:rPr>
          <w:b/>
          <w:sz w:val="30"/>
          <w:szCs w:val="30"/>
        </w:rPr>
        <w:t>Locus</w:t>
      </w:r>
      <w:proofErr w:type="spellEnd"/>
      <w:r w:rsidRPr="006F3E66">
        <w:rPr>
          <w:b/>
          <w:sz w:val="30"/>
          <w:szCs w:val="30"/>
        </w:rPr>
        <w:t xml:space="preserve"> </w:t>
      </w:r>
      <w:proofErr w:type="spellStart"/>
      <w:r w:rsidRPr="006F3E66">
        <w:rPr>
          <w:b/>
          <w:sz w:val="30"/>
          <w:szCs w:val="30"/>
        </w:rPr>
        <w:t>of</w:t>
      </w:r>
      <w:proofErr w:type="spellEnd"/>
      <w:r w:rsidRPr="006F3E66">
        <w:rPr>
          <w:b/>
          <w:sz w:val="30"/>
          <w:szCs w:val="30"/>
        </w:rPr>
        <w:t xml:space="preserve"> Control </w:t>
      </w:r>
      <w:r w:rsidR="00381440">
        <w:rPr>
          <w:b/>
          <w:sz w:val="30"/>
          <w:szCs w:val="30"/>
        </w:rPr>
        <w:t>(</w:t>
      </w:r>
      <w:proofErr w:type="spellStart"/>
      <w:r w:rsidR="00381440">
        <w:rPr>
          <w:b/>
          <w:sz w:val="30"/>
          <w:szCs w:val="30"/>
        </w:rPr>
        <w:t>LoC</w:t>
      </w:r>
      <w:proofErr w:type="spellEnd"/>
      <w:r w:rsidR="00381440">
        <w:rPr>
          <w:b/>
          <w:sz w:val="30"/>
          <w:szCs w:val="30"/>
        </w:rPr>
        <w:t>)</w:t>
      </w:r>
    </w:p>
    <w:p w:rsidR="00136D05" w:rsidRDefault="00136D05" w:rsidP="00FF3E75">
      <w:pPr>
        <w:widowControl w:val="0"/>
        <w:spacing w:line="360" w:lineRule="auto"/>
        <w:ind w:left="283" w:right="-182"/>
        <w:jc w:val="center"/>
      </w:pPr>
    </w:p>
    <w:p w:rsidR="00381440" w:rsidRDefault="00381440" w:rsidP="00FF3E75">
      <w:pPr>
        <w:widowControl w:val="0"/>
        <w:spacing w:line="360" w:lineRule="auto"/>
        <w:ind w:right="-182"/>
        <w:rPr>
          <w:lang w:val="en-US"/>
        </w:rPr>
      </w:pPr>
      <w:r w:rsidRPr="00381440">
        <w:rPr>
          <w:lang w:val="en-US"/>
        </w:rPr>
        <w:t>Presentation of the concept of LoC (internal vs. external) and the deducted hypothesis that an internal LoC strengthen personal resilience</w:t>
      </w:r>
      <w:r>
        <w:rPr>
          <w:lang w:val="en-US"/>
        </w:rPr>
        <w:t>.</w:t>
      </w:r>
    </w:p>
    <w:p w:rsidR="00136D05" w:rsidRDefault="005B24D2" w:rsidP="00FF3E75">
      <w:pPr>
        <w:widowControl w:val="0"/>
        <w:spacing w:line="360" w:lineRule="auto"/>
        <w:ind w:right="-182"/>
        <w:rPr>
          <w:lang w:val="en-US"/>
        </w:rPr>
      </w:pPr>
      <w:r w:rsidRPr="006F3E66">
        <w:rPr>
          <w:lang w:val="en-US"/>
        </w:rPr>
        <w:t>One of the most significant psychological</w:t>
      </w:r>
      <w:r w:rsidRPr="006F3E66">
        <w:rPr>
          <w:lang w:val="en-US"/>
        </w:rPr>
        <w:t xml:space="preserve"> constructs related </w:t>
      </w:r>
      <w:r w:rsidRPr="006F3E66">
        <w:rPr>
          <w:lang w:val="en-US"/>
        </w:rPr>
        <w:t xml:space="preserve">to resilience is </w:t>
      </w:r>
      <w:r w:rsidR="006F3E66">
        <w:rPr>
          <w:lang w:val="en-US"/>
        </w:rPr>
        <w:t xml:space="preserve">the </w:t>
      </w:r>
      <w:r w:rsidRPr="006F3E66">
        <w:rPr>
          <w:lang w:val="en-US"/>
        </w:rPr>
        <w:t xml:space="preserve">locus of </w:t>
      </w:r>
      <w:r w:rsidR="006F3E66" w:rsidRPr="006F3E66">
        <w:rPr>
          <w:lang w:val="en-US"/>
        </w:rPr>
        <w:t>control (</w:t>
      </w:r>
      <w:r w:rsidRPr="006F3E66">
        <w:rPr>
          <w:lang w:val="en-US"/>
        </w:rPr>
        <w:t>Rotter, 1966)</w:t>
      </w:r>
      <w:r w:rsidR="006F3E66">
        <w:rPr>
          <w:lang w:val="en-US"/>
        </w:rPr>
        <w:t xml:space="preserve">. </w:t>
      </w:r>
    </w:p>
    <w:p w:rsidR="006F3E66" w:rsidRDefault="006F3E66" w:rsidP="00FF3E75">
      <w:pPr>
        <w:widowControl w:val="0"/>
        <w:spacing w:line="360" w:lineRule="auto"/>
        <w:ind w:left="283" w:right="-182"/>
        <w:rPr>
          <w:lang w:val="en-US"/>
        </w:rPr>
      </w:pPr>
    </w:p>
    <w:p w:rsidR="00BA09CD" w:rsidRDefault="00BA09CD" w:rsidP="00FF3E75">
      <w:pPr>
        <w:widowControl w:val="0"/>
        <w:spacing w:line="360" w:lineRule="auto"/>
        <w:ind w:left="283" w:right="-182"/>
        <w:rPr>
          <w:lang w:val="en-US"/>
        </w:rPr>
      </w:pPr>
    </w:p>
    <w:p w:rsidR="00BA09CD" w:rsidRDefault="00BA09CD" w:rsidP="00FF3E75">
      <w:pPr>
        <w:widowControl w:val="0"/>
        <w:spacing w:line="360" w:lineRule="auto"/>
        <w:ind w:left="283" w:right="-182"/>
        <w:rPr>
          <w:lang w:val="en-US"/>
        </w:rPr>
      </w:pPr>
    </w:p>
    <w:p w:rsidR="00BA09CD" w:rsidRDefault="00BA09CD" w:rsidP="00FF3E75">
      <w:pPr>
        <w:widowControl w:val="0"/>
        <w:spacing w:line="360" w:lineRule="auto"/>
        <w:ind w:left="283" w:right="-182"/>
        <w:rPr>
          <w:lang w:val="en-US"/>
        </w:rPr>
      </w:pPr>
    </w:p>
    <w:p w:rsidR="00BA09CD" w:rsidRDefault="00BA09CD" w:rsidP="00FF3E75">
      <w:pPr>
        <w:widowControl w:val="0"/>
        <w:spacing w:line="360" w:lineRule="auto"/>
        <w:ind w:left="283" w:right="-182"/>
        <w:rPr>
          <w:lang w:val="en-US"/>
        </w:rPr>
      </w:pPr>
    </w:p>
    <w:p w:rsidR="00BA09CD" w:rsidRDefault="00BA09CD" w:rsidP="00FF3E75">
      <w:pPr>
        <w:widowControl w:val="0"/>
        <w:spacing w:line="360" w:lineRule="auto"/>
        <w:ind w:left="283" w:right="-182"/>
        <w:rPr>
          <w:lang w:val="en-US"/>
        </w:rPr>
      </w:pPr>
    </w:p>
    <w:p w:rsidR="00BA09CD" w:rsidRDefault="00BA09CD" w:rsidP="00FF3E75">
      <w:pPr>
        <w:widowControl w:val="0"/>
        <w:spacing w:line="360" w:lineRule="auto"/>
        <w:ind w:left="283" w:right="-182"/>
        <w:rPr>
          <w:lang w:val="en-US"/>
        </w:rPr>
      </w:pPr>
    </w:p>
    <w:p w:rsidR="00BA09CD" w:rsidRDefault="00BA09CD" w:rsidP="00FF3E75">
      <w:pPr>
        <w:widowControl w:val="0"/>
        <w:spacing w:line="360" w:lineRule="auto"/>
        <w:ind w:left="283" w:right="-182"/>
        <w:rPr>
          <w:lang w:val="en-US"/>
        </w:rPr>
      </w:pPr>
    </w:p>
    <w:p w:rsidR="00136D05" w:rsidRDefault="006F3E66" w:rsidP="00FF3E75">
      <w:pPr>
        <w:widowControl w:val="0"/>
        <w:spacing w:line="360" w:lineRule="auto"/>
        <w:ind w:left="245" w:right="2689" w:hanging="8"/>
        <w:rPr>
          <w:b/>
          <w:lang w:val="en-US"/>
        </w:rPr>
      </w:pPr>
      <w:r w:rsidRPr="006F3E66">
        <w:rPr>
          <w:b/>
          <w:lang w:val="en-US"/>
        </w:rPr>
        <w:lastRenderedPageBreak/>
        <w:t xml:space="preserve">Figure </w:t>
      </w:r>
      <w:proofErr w:type="gramStart"/>
      <w:r w:rsidRPr="006F3E66">
        <w:rPr>
          <w:b/>
          <w:lang w:val="en-US"/>
        </w:rPr>
        <w:t>3 :</w:t>
      </w:r>
      <w:proofErr w:type="gramEnd"/>
      <w:r w:rsidRPr="006F3E66">
        <w:rPr>
          <w:b/>
          <w:lang w:val="en-US"/>
        </w:rPr>
        <w:t xml:space="preserve"> Locus of Control </w:t>
      </w:r>
    </w:p>
    <w:p w:rsidR="00BA09CD" w:rsidRPr="00381440" w:rsidRDefault="00BA09CD" w:rsidP="00FF3E75">
      <w:pPr>
        <w:widowControl w:val="0"/>
        <w:spacing w:line="360" w:lineRule="auto"/>
        <w:ind w:left="245" w:right="2689" w:hanging="8"/>
        <w:rPr>
          <w:b/>
          <w:lang w:val="en-US"/>
        </w:rPr>
      </w:pPr>
    </w:p>
    <w:p w:rsidR="00136D05" w:rsidRPr="00381440" w:rsidRDefault="005B24D2" w:rsidP="00FF3E75">
      <w:pPr>
        <w:widowControl w:val="0"/>
        <w:spacing w:line="360" w:lineRule="auto"/>
        <w:ind w:left="245" w:right="2689" w:hanging="8"/>
        <w:jc w:val="center"/>
        <w:rPr>
          <w:sz w:val="56"/>
          <w:szCs w:val="56"/>
        </w:rPr>
      </w:pPr>
      <w:r>
        <w:rPr>
          <w:noProof/>
          <w:sz w:val="56"/>
          <w:szCs w:val="56"/>
        </w:rPr>
        <w:drawing>
          <wp:inline distT="19050" distB="19050" distL="19050" distR="19050">
            <wp:extent cx="3743325" cy="2362200"/>
            <wp:effectExtent l="0" t="0" r="9525"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743824" cy="2362515"/>
                    </a:xfrm>
                    <a:prstGeom prst="rect">
                      <a:avLst/>
                    </a:prstGeom>
                    <a:ln/>
                  </pic:spPr>
                </pic:pic>
              </a:graphicData>
            </a:graphic>
          </wp:inline>
        </w:drawing>
      </w:r>
    </w:p>
    <w:p w:rsidR="00136D05" w:rsidRDefault="005B24D2" w:rsidP="00FF3E75">
      <w:pPr>
        <w:spacing w:line="360" w:lineRule="auto"/>
        <w:jc w:val="both"/>
        <w:rPr>
          <w:b/>
        </w:rPr>
      </w:pPr>
      <w:r>
        <w:rPr>
          <w:b/>
        </w:rPr>
        <w:t xml:space="preserve">Notes </w:t>
      </w:r>
      <w:proofErr w:type="spellStart"/>
      <w:r>
        <w:rPr>
          <w:b/>
        </w:rPr>
        <w:t>from</w:t>
      </w:r>
      <w:proofErr w:type="spellEnd"/>
      <w:r>
        <w:rPr>
          <w:b/>
        </w:rPr>
        <w:t xml:space="preserve"> </w:t>
      </w:r>
      <w:proofErr w:type="spellStart"/>
      <w:r>
        <w:rPr>
          <w:b/>
        </w:rPr>
        <w:t>the</w:t>
      </w:r>
      <w:proofErr w:type="spellEnd"/>
      <w:r>
        <w:rPr>
          <w:b/>
        </w:rPr>
        <w:t xml:space="preserve"> </w:t>
      </w:r>
      <w:proofErr w:type="spellStart"/>
      <w:r>
        <w:rPr>
          <w:b/>
        </w:rPr>
        <w:t>discussion</w:t>
      </w:r>
      <w:proofErr w:type="spellEnd"/>
    </w:p>
    <w:p w:rsidR="00136D05" w:rsidRDefault="00136D05" w:rsidP="00FF3E75">
      <w:pPr>
        <w:spacing w:line="360" w:lineRule="auto"/>
        <w:jc w:val="both"/>
      </w:pPr>
    </w:p>
    <w:p w:rsidR="00136D05" w:rsidRPr="006F3E66" w:rsidRDefault="005B24D2" w:rsidP="00FF3E75">
      <w:pPr>
        <w:numPr>
          <w:ilvl w:val="0"/>
          <w:numId w:val="5"/>
        </w:numPr>
        <w:spacing w:line="360" w:lineRule="auto"/>
        <w:jc w:val="both"/>
        <w:rPr>
          <w:lang w:val="en-US"/>
        </w:rPr>
      </w:pPr>
      <w:r w:rsidRPr="006F3E66">
        <w:rPr>
          <w:lang w:val="en-US"/>
        </w:rPr>
        <w:t>What are the impacts of mentality/ culture regarding crisis preparedness (crisis manageme</w:t>
      </w:r>
      <w:r w:rsidRPr="006F3E66">
        <w:rPr>
          <w:lang w:val="en-US"/>
        </w:rPr>
        <w:t xml:space="preserve">nt)? There are for sure differences between Finland, Sweden, France, Germany, etc. The system might not be designed for internal locus of control </w:t>
      </w:r>
    </w:p>
    <w:p w:rsidR="00136D05" w:rsidRPr="006F3E66" w:rsidRDefault="005B24D2" w:rsidP="00FF3E75">
      <w:pPr>
        <w:numPr>
          <w:ilvl w:val="0"/>
          <w:numId w:val="5"/>
        </w:numPr>
        <w:spacing w:line="360" w:lineRule="auto"/>
        <w:jc w:val="both"/>
        <w:rPr>
          <w:lang w:val="en-US"/>
        </w:rPr>
      </w:pPr>
      <w:r w:rsidRPr="006F3E66">
        <w:rPr>
          <w:lang w:val="en-US"/>
        </w:rPr>
        <w:t xml:space="preserve">There was already a survey conducted in the Ukraine on the crisis preparedness and proactive </w:t>
      </w:r>
      <w:proofErr w:type="spellStart"/>
      <w:r w:rsidRPr="006F3E66">
        <w:rPr>
          <w:lang w:val="en-US"/>
        </w:rPr>
        <w:t>behaviour</w:t>
      </w:r>
      <w:proofErr w:type="spellEnd"/>
      <w:r w:rsidRPr="006F3E66">
        <w:rPr>
          <w:lang w:val="en-US"/>
        </w:rPr>
        <w:t xml:space="preserve"> of cit</w:t>
      </w:r>
      <w:r w:rsidRPr="006F3E66">
        <w:rPr>
          <w:lang w:val="en-US"/>
        </w:rPr>
        <w:t>izens; results: To increase the internal LoC and the crisis preparedness of individuals, investments in education (especially critical thinking and digitals skills for detecting fake news) are paramount; primary and secondary schools in the Ukraine already</w:t>
      </w:r>
      <w:r w:rsidRPr="006F3E66">
        <w:rPr>
          <w:lang w:val="en-US"/>
        </w:rPr>
        <w:t xml:space="preserve"> conduct courses on crisis preparedness</w:t>
      </w:r>
    </w:p>
    <w:p w:rsidR="00136D05" w:rsidRPr="006F3E66" w:rsidRDefault="005B24D2" w:rsidP="00FF3E75">
      <w:pPr>
        <w:numPr>
          <w:ilvl w:val="0"/>
          <w:numId w:val="5"/>
        </w:numPr>
        <w:spacing w:line="360" w:lineRule="auto"/>
        <w:jc w:val="both"/>
        <w:rPr>
          <w:lang w:val="en-US"/>
        </w:rPr>
      </w:pPr>
      <w:r w:rsidRPr="006F3E66">
        <w:rPr>
          <w:lang w:val="en-US"/>
        </w:rPr>
        <w:t>Individual crisis preparedness (at least for the first three days of a crisis) as well as military service is mandatory in Finland. Voluntary military service where nearly half of the population goes, this helps as a</w:t>
      </w:r>
      <w:r w:rsidRPr="006F3E66">
        <w:rPr>
          <w:lang w:val="en-US"/>
        </w:rPr>
        <w:t xml:space="preserve"> lot of people have basic knowledge on surviving skills.  </w:t>
      </w:r>
    </w:p>
    <w:p w:rsidR="00136D05" w:rsidRPr="006F3E66" w:rsidRDefault="005B24D2" w:rsidP="00FF3E75">
      <w:pPr>
        <w:numPr>
          <w:ilvl w:val="0"/>
          <w:numId w:val="5"/>
        </w:numPr>
        <w:spacing w:line="360" w:lineRule="auto"/>
        <w:jc w:val="both"/>
        <w:rPr>
          <w:lang w:val="en-US"/>
        </w:rPr>
      </w:pPr>
      <w:r w:rsidRPr="006F3E66">
        <w:rPr>
          <w:lang w:val="en-US"/>
        </w:rPr>
        <w:t>Internal LoC can also support public servants in acting within regulatory frameworks (“Do first, apologies later.”)</w:t>
      </w:r>
    </w:p>
    <w:p w:rsidR="00136D05" w:rsidRPr="006F3E66" w:rsidRDefault="005B24D2" w:rsidP="00FF3E75">
      <w:pPr>
        <w:numPr>
          <w:ilvl w:val="0"/>
          <w:numId w:val="5"/>
        </w:numPr>
        <w:spacing w:line="360" w:lineRule="auto"/>
        <w:jc w:val="both"/>
        <w:rPr>
          <w:lang w:val="en-US"/>
        </w:rPr>
      </w:pPr>
      <w:r w:rsidRPr="006F3E66">
        <w:rPr>
          <w:lang w:val="en-US"/>
        </w:rPr>
        <w:t>Internal LoC is rather problem-focused, external LoC is rather emotion-focused; w</w:t>
      </w:r>
      <w:r w:rsidRPr="006F3E66">
        <w:rPr>
          <w:lang w:val="en-US"/>
        </w:rPr>
        <w:t>e have to take this into consideration in the framework of crisis communication</w:t>
      </w:r>
    </w:p>
    <w:p w:rsidR="00B00804" w:rsidRPr="00B00804" w:rsidRDefault="005B24D2" w:rsidP="00FF3E75">
      <w:pPr>
        <w:numPr>
          <w:ilvl w:val="0"/>
          <w:numId w:val="5"/>
        </w:numPr>
        <w:spacing w:after="160" w:line="360" w:lineRule="auto"/>
        <w:jc w:val="both"/>
      </w:pPr>
      <w:r w:rsidRPr="006F3E66">
        <w:rPr>
          <w:lang w:val="en-US"/>
        </w:rPr>
        <w:t xml:space="preserve">Individual and group resilience is also linked to spirituality and the capacity to keep a positive outlook on the future even in times of crisis. </w:t>
      </w:r>
    </w:p>
    <w:p w:rsidR="00136D05" w:rsidRPr="00B00804" w:rsidRDefault="005B24D2" w:rsidP="00FF3E75">
      <w:pPr>
        <w:numPr>
          <w:ilvl w:val="0"/>
          <w:numId w:val="5"/>
        </w:numPr>
        <w:spacing w:after="160" w:line="360" w:lineRule="auto"/>
        <w:jc w:val="both"/>
        <w:rPr>
          <w:lang w:val="en-US"/>
        </w:rPr>
      </w:pPr>
      <w:r w:rsidRPr="00B00804">
        <w:rPr>
          <w:lang w:val="en-US"/>
        </w:rPr>
        <w:t>More research is needed on tha</w:t>
      </w:r>
      <w:r w:rsidRPr="00B00804">
        <w:rPr>
          <w:lang w:val="en-US"/>
        </w:rPr>
        <w:t>t!</w:t>
      </w:r>
    </w:p>
    <w:p w:rsidR="00136D05" w:rsidRPr="00B00804" w:rsidRDefault="00136D05" w:rsidP="00FF3E75">
      <w:pPr>
        <w:spacing w:line="360" w:lineRule="auto"/>
        <w:rPr>
          <w:lang w:val="en-US"/>
        </w:rPr>
      </w:pPr>
    </w:p>
    <w:p w:rsidR="00136D05" w:rsidRPr="006F3E66" w:rsidRDefault="005B24D2" w:rsidP="00FF3E75">
      <w:pPr>
        <w:spacing w:line="360" w:lineRule="auto"/>
        <w:rPr>
          <w:b/>
          <w:lang w:val="en-US"/>
        </w:rPr>
      </w:pPr>
      <w:r w:rsidRPr="006F3E66">
        <w:rPr>
          <w:b/>
          <w:lang w:val="en-US"/>
        </w:rPr>
        <w:t>References</w:t>
      </w:r>
      <w:r w:rsidR="00C73743">
        <w:rPr>
          <w:b/>
          <w:lang w:val="en-US"/>
        </w:rPr>
        <w:t>:</w:t>
      </w:r>
    </w:p>
    <w:p w:rsidR="00136D05" w:rsidRPr="00C73743" w:rsidRDefault="005B24D2" w:rsidP="00FF3E75">
      <w:pPr>
        <w:spacing w:before="280" w:after="280" w:line="360" w:lineRule="auto"/>
        <w:jc w:val="both"/>
        <w:rPr>
          <w:lang w:val="en-US"/>
        </w:rPr>
      </w:pPr>
      <w:r w:rsidRPr="00C73743">
        <w:rPr>
          <w:lang w:val="en-US"/>
        </w:rPr>
        <w:t>Rotter, J. B. (1966).</w:t>
      </w:r>
      <w:r w:rsidRPr="00C73743">
        <w:rPr>
          <w:lang w:val="en-US"/>
        </w:rPr>
        <w:t xml:space="preserve"> Generalized expectancies for internal versus external control of reinforcement. </w:t>
      </w:r>
      <w:r w:rsidRPr="00C73743">
        <w:rPr>
          <w:lang w:val="en-US"/>
        </w:rPr>
        <w:t>Psychological Monographs: General and Applied, 80</w:t>
      </w:r>
      <w:r w:rsidRPr="00C73743">
        <w:rPr>
          <w:lang w:val="en-US"/>
        </w:rPr>
        <w:t xml:space="preserve">(1), 1–28. </w:t>
      </w:r>
      <w:hyperlink r:id="rId12">
        <w:proofErr w:type="spellStart"/>
        <w:r w:rsidRPr="00C73743">
          <w:rPr>
            <w:lang w:val="en-US"/>
          </w:rPr>
          <w:t>doi</w:t>
        </w:r>
        <w:proofErr w:type="spellEnd"/>
        <w:r w:rsidRPr="00C73743">
          <w:rPr>
            <w:lang w:val="en-US"/>
          </w:rPr>
          <w:t>: 10.1037/h0092976</w:t>
        </w:r>
      </w:hyperlink>
    </w:p>
    <w:p w:rsidR="00136D05" w:rsidRPr="00C73743" w:rsidRDefault="005B24D2" w:rsidP="00FF3E75">
      <w:pPr>
        <w:spacing w:before="280" w:after="280" w:line="360" w:lineRule="auto"/>
        <w:jc w:val="both"/>
        <w:rPr>
          <w:lang w:val="en-US"/>
        </w:rPr>
      </w:pPr>
      <w:proofErr w:type="spellStart"/>
      <w:r w:rsidRPr="00C73743">
        <w:rPr>
          <w:lang w:val="en-US"/>
        </w:rPr>
        <w:t>Benight</w:t>
      </w:r>
      <w:proofErr w:type="spellEnd"/>
      <w:r w:rsidRPr="00C73743">
        <w:rPr>
          <w:lang w:val="en-US"/>
        </w:rPr>
        <w:t>, C. C., &amp; Bandura, A. (2004)</w:t>
      </w:r>
      <w:r w:rsidRPr="00C73743">
        <w:rPr>
          <w:lang w:val="en-US"/>
        </w:rPr>
        <w:t xml:space="preserve">. Social cognitive theory of posttraumatic recovery: The role of perceived self-efficacy. </w:t>
      </w:r>
      <w:proofErr w:type="spellStart"/>
      <w:r w:rsidRPr="00C73743">
        <w:rPr>
          <w:lang w:val="en-US"/>
        </w:rPr>
        <w:t>Behaviour</w:t>
      </w:r>
      <w:proofErr w:type="spellEnd"/>
      <w:r w:rsidRPr="00C73743">
        <w:rPr>
          <w:lang w:val="en-US"/>
        </w:rPr>
        <w:t xml:space="preserve"> Research and Therapy, 42</w:t>
      </w:r>
      <w:r w:rsidRPr="00C73743">
        <w:rPr>
          <w:lang w:val="en-US"/>
        </w:rPr>
        <w:t>(10), 1129-1148. DOI: 10.1002/jts.20032</w:t>
      </w:r>
    </w:p>
    <w:p w:rsidR="00136D05" w:rsidRPr="00C73743" w:rsidRDefault="005B24D2" w:rsidP="00FF3E75">
      <w:pPr>
        <w:spacing w:before="280" w:after="280" w:line="360" w:lineRule="auto"/>
        <w:jc w:val="both"/>
        <w:rPr>
          <w:lang w:val="en-US"/>
        </w:rPr>
      </w:pPr>
      <w:proofErr w:type="spellStart"/>
      <w:r w:rsidRPr="00C73743">
        <w:rPr>
          <w:lang w:val="en-US"/>
        </w:rPr>
        <w:t>Paliokaitė</w:t>
      </w:r>
      <w:proofErr w:type="spellEnd"/>
      <w:r w:rsidRPr="00C73743">
        <w:rPr>
          <w:lang w:val="en-US"/>
        </w:rPr>
        <w:t xml:space="preserve">, A., </w:t>
      </w:r>
      <w:proofErr w:type="spellStart"/>
      <w:r w:rsidRPr="00C73743">
        <w:rPr>
          <w:lang w:val="en-US"/>
        </w:rPr>
        <w:t>Pačėsa</w:t>
      </w:r>
      <w:proofErr w:type="spellEnd"/>
      <w:r w:rsidRPr="00C73743">
        <w:rPr>
          <w:lang w:val="en-US"/>
        </w:rPr>
        <w:t>, N., &amp; Sarp</w:t>
      </w:r>
      <w:r w:rsidRPr="00C73743">
        <w:rPr>
          <w:lang w:val="en-US"/>
        </w:rPr>
        <w:t>ong, D. (2014).</w:t>
      </w:r>
      <w:r w:rsidRPr="00C73743">
        <w:rPr>
          <w:lang w:val="en-US"/>
        </w:rPr>
        <w:t xml:space="preserve"> </w:t>
      </w:r>
      <w:r w:rsidRPr="00C73743">
        <w:rPr>
          <w:lang w:val="en-US"/>
        </w:rPr>
        <w:t>Conceptualizing strategic foresight: An integrated framework.</w:t>
      </w:r>
      <w:r w:rsidRPr="00C73743">
        <w:rPr>
          <w:lang w:val="en-US"/>
        </w:rPr>
        <w:t xml:space="preserve"> Strategic Change, 23(3-4), 161-169. DOI: </w:t>
      </w:r>
      <w:hyperlink r:id="rId13">
        <w:r w:rsidRPr="00C73743">
          <w:rPr>
            <w:lang w:val="en-US"/>
          </w:rPr>
          <w:t>10.1002/jsc.1968</w:t>
        </w:r>
      </w:hyperlink>
    </w:p>
    <w:p w:rsidR="00136D05" w:rsidRPr="00C73743" w:rsidRDefault="005B24D2" w:rsidP="00FF3E75">
      <w:pPr>
        <w:spacing w:before="280" w:after="280" w:line="360" w:lineRule="auto"/>
        <w:jc w:val="both"/>
        <w:rPr>
          <w:lang w:val="en-US"/>
        </w:rPr>
      </w:pPr>
      <w:proofErr w:type="spellStart"/>
      <w:r w:rsidRPr="00C73743">
        <w:rPr>
          <w:lang w:val="en-US"/>
        </w:rPr>
        <w:t>Kunseler</w:t>
      </w:r>
      <w:proofErr w:type="spellEnd"/>
      <w:r w:rsidRPr="00C73743">
        <w:rPr>
          <w:lang w:val="en-US"/>
        </w:rPr>
        <w:t xml:space="preserve">, E. M., </w:t>
      </w:r>
      <w:proofErr w:type="spellStart"/>
      <w:r w:rsidRPr="00C73743">
        <w:rPr>
          <w:lang w:val="en-US"/>
        </w:rPr>
        <w:t>Tuinstra</w:t>
      </w:r>
      <w:proofErr w:type="spellEnd"/>
      <w:r w:rsidRPr="00C73743">
        <w:rPr>
          <w:lang w:val="en-US"/>
        </w:rPr>
        <w:t xml:space="preserve">, W., </w:t>
      </w:r>
      <w:proofErr w:type="spellStart"/>
      <w:r w:rsidRPr="00C73743">
        <w:rPr>
          <w:lang w:val="en-US"/>
        </w:rPr>
        <w:t>Vasileiadou</w:t>
      </w:r>
      <w:proofErr w:type="spellEnd"/>
      <w:r w:rsidRPr="00C73743">
        <w:rPr>
          <w:lang w:val="en-US"/>
        </w:rPr>
        <w:t>, E., &amp; Petersen, A. C. (2015).</w:t>
      </w:r>
      <w:r w:rsidRPr="00C73743">
        <w:rPr>
          <w:lang w:val="en-US"/>
        </w:rPr>
        <w:t xml:space="preserve"> </w:t>
      </w:r>
      <w:r w:rsidRPr="00C73743">
        <w:rPr>
          <w:lang w:val="en-US"/>
        </w:rPr>
        <w:t>The reflective futures practitioner: Balancing salience, credibility and legitimacy in generating foresight knowledge with stakeholders.</w:t>
      </w:r>
      <w:r w:rsidRPr="00C73743">
        <w:rPr>
          <w:lang w:val="en-US"/>
        </w:rPr>
        <w:t xml:space="preserve"> Futures, 66, 1-12. </w:t>
      </w:r>
      <w:hyperlink r:id="rId14">
        <w:proofErr w:type="spellStart"/>
        <w:r w:rsidRPr="00C73743">
          <w:rPr>
            <w:lang w:val="en-US"/>
          </w:rPr>
          <w:t>doi</w:t>
        </w:r>
        <w:proofErr w:type="spellEnd"/>
        <w:r w:rsidRPr="00C73743">
          <w:rPr>
            <w:lang w:val="en-US"/>
          </w:rPr>
          <w:t>: 10.1016/j.futures.2014.10.006</w:t>
        </w:r>
      </w:hyperlink>
    </w:p>
    <w:p w:rsidR="00136D05" w:rsidRPr="00C73743" w:rsidRDefault="005B24D2" w:rsidP="00FF3E75">
      <w:pPr>
        <w:spacing w:before="280" w:after="280" w:line="360" w:lineRule="auto"/>
        <w:jc w:val="both"/>
        <w:rPr>
          <w:lang w:val="en-US"/>
        </w:rPr>
      </w:pPr>
      <w:r w:rsidRPr="00C73743">
        <w:rPr>
          <w:lang w:val="en-US"/>
        </w:rPr>
        <w:t>Sun, H. Y., Jiang, Y. P., Wang, X., Cui, L. Y., &amp; Sun, H. M. (2023).</w:t>
      </w:r>
      <w:r w:rsidRPr="00C73743">
        <w:rPr>
          <w:lang w:val="en-US"/>
        </w:rPr>
        <w:t xml:space="preserve"> </w:t>
      </w:r>
      <w:r w:rsidRPr="00C73743">
        <w:rPr>
          <w:lang w:val="en-US"/>
        </w:rPr>
        <w:t>The effect of episodic foresight on intertemporal decision-making: The role of future self-continuity and perceiv</w:t>
      </w:r>
      <w:r w:rsidRPr="00C73743">
        <w:rPr>
          <w:lang w:val="en-US"/>
        </w:rPr>
        <w:t>ed control.</w:t>
      </w:r>
      <w:r w:rsidRPr="00C73743">
        <w:rPr>
          <w:lang w:val="en-US"/>
        </w:rPr>
        <w:t xml:space="preserve"> Cognitive Processing. DOI:</w:t>
      </w:r>
      <w:hyperlink r:id="rId15">
        <w:r w:rsidRPr="00C73743">
          <w:rPr>
            <w:lang w:val="en-US"/>
          </w:rPr>
          <w:t xml:space="preserve"> </w:t>
        </w:r>
      </w:hyperlink>
      <w:hyperlink r:id="rId16">
        <w:r w:rsidRPr="00C73743">
          <w:rPr>
            <w:lang w:val="en-US"/>
          </w:rPr>
          <w:t>10.1007/s10339-023-01124-6</w:t>
        </w:r>
      </w:hyperlink>
    </w:p>
    <w:p w:rsidR="00136D05" w:rsidRPr="00C73743" w:rsidRDefault="005B24D2" w:rsidP="00FF3E75">
      <w:pPr>
        <w:spacing w:before="280" w:after="280" w:line="360" w:lineRule="auto"/>
        <w:jc w:val="both"/>
        <w:rPr>
          <w:lang w:val="en-US"/>
        </w:rPr>
      </w:pPr>
      <w:proofErr w:type="spellStart"/>
      <w:r w:rsidRPr="00C73743">
        <w:rPr>
          <w:lang w:val="en-US"/>
        </w:rPr>
        <w:t>Inayatullah</w:t>
      </w:r>
      <w:proofErr w:type="spellEnd"/>
      <w:r w:rsidRPr="00C73743">
        <w:rPr>
          <w:lang w:val="en-US"/>
        </w:rPr>
        <w:t>, S. (2008).</w:t>
      </w:r>
      <w:r w:rsidRPr="00C73743">
        <w:rPr>
          <w:lang w:val="en-US"/>
        </w:rPr>
        <w:t xml:space="preserve"> </w:t>
      </w:r>
      <w:r w:rsidRPr="00C73743">
        <w:rPr>
          <w:lang w:val="en-US"/>
        </w:rPr>
        <w:t>Six pillars: futures thinking for transfor</w:t>
      </w:r>
      <w:r w:rsidRPr="00C73743">
        <w:rPr>
          <w:lang w:val="en-US"/>
        </w:rPr>
        <w:t>ming.</w:t>
      </w:r>
      <w:r w:rsidRPr="00C73743">
        <w:rPr>
          <w:lang w:val="en-US"/>
        </w:rPr>
        <w:t xml:space="preserve"> </w:t>
      </w:r>
      <w:proofErr w:type="spellStart"/>
      <w:r w:rsidRPr="00C73743">
        <w:rPr>
          <w:lang w:val="en-US"/>
        </w:rPr>
        <w:t>Foresight</w:t>
      </w:r>
      <w:proofErr w:type="spellEnd"/>
      <w:r w:rsidRPr="00C73743">
        <w:rPr>
          <w:lang w:val="en-US"/>
        </w:rPr>
        <w:t xml:space="preserve">, 10(1), 4-21. DOI: </w:t>
      </w:r>
      <w:hyperlink r:id="rId17">
        <w:r w:rsidRPr="00C73743">
          <w:rPr>
            <w:lang w:val="en-US"/>
          </w:rPr>
          <w:t>10.1108/14636680810855991</w:t>
        </w:r>
      </w:hyperlink>
    </w:p>
    <w:p w:rsidR="00136D05" w:rsidRPr="00C73743" w:rsidRDefault="005B24D2" w:rsidP="00FF3E75">
      <w:pPr>
        <w:spacing w:before="280" w:after="280" w:line="360" w:lineRule="auto"/>
        <w:jc w:val="both"/>
        <w:rPr>
          <w:lang w:val="en-US"/>
        </w:rPr>
      </w:pPr>
      <w:proofErr w:type="spellStart"/>
      <w:r w:rsidRPr="00C73743">
        <w:rPr>
          <w:lang w:val="en-US"/>
        </w:rPr>
        <w:t>Infurna</w:t>
      </w:r>
      <w:proofErr w:type="spellEnd"/>
      <w:r w:rsidRPr="00C73743">
        <w:rPr>
          <w:lang w:val="en-US"/>
        </w:rPr>
        <w:t>, F. J., &amp; Reich, J. W. (2016)</w:t>
      </w:r>
      <w:r w:rsidRPr="00C73743">
        <w:rPr>
          <w:lang w:val="en-US"/>
        </w:rPr>
        <w:t xml:space="preserve">. </w:t>
      </w:r>
      <w:r w:rsidRPr="00C73743">
        <w:rPr>
          <w:lang w:val="en-US"/>
        </w:rPr>
        <w:t>Perceived control: Theory, research, and practice in the first 50 years.</w:t>
      </w:r>
      <w:r w:rsidRPr="00C73743">
        <w:rPr>
          <w:lang w:val="en-US"/>
        </w:rPr>
        <w:t xml:space="preserve"> Oxford University Pres</w:t>
      </w:r>
      <w:r w:rsidRPr="00C73743">
        <w:rPr>
          <w:lang w:val="en-US"/>
        </w:rPr>
        <w:t xml:space="preserve">s. DOI: </w:t>
      </w:r>
      <w:hyperlink r:id="rId18">
        <w:r w:rsidRPr="00C73743">
          <w:rPr>
            <w:lang w:val="en-US"/>
          </w:rPr>
          <w:t>10.1093/</w:t>
        </w:r>
        <w:proofErr w:type="spellStart"/>
        <w:proofErr w:type="gramStart"/>
        <w:r w:rsidRPr="00C73743">
          <w:rPr>
            <w:lang w:val="en-US"/>
          </w:rPr>
          <w:t>acprof:oso</w:t>
        </w:r>
        <w:proofErr w:type="spellEnd"/>
        <w:proofErr w:type="gramEnd"/>
        <w:r w:rsidRPr="00C73743">
          <w:rPr>
            <w:lang w:val="en-US"/>
          </w:rPr>
          <w:t>/9780190257040.003.0001</w:t>
        </w:r>
      </w:hyperlink>
    </w:p>
    <w:p w:rsidR="00B00804" w:rsidRDefault="005B24D2" w:rsidP="00FF3E75">
      <w:pPr>
        <w:spacing w:before="280" w:after="280" w:line="360" w:lineRule="auto"/>
        <w:jc w:val="both"/>
        <w:rPr>
          <w:rFonts w:ascii="Calibri" w:eastAsia="Calibri" w:hAnsi="Calibri" w:cs="Calibri"/>
          <w:sz w:val="24"/>
          <w:szCs w:val="24"/>
        </w:rPr>
      </w:pPr>
      <w:r w:rsidRPr="00C73743">
        <w:rPr>
          <w:lang w:val="en-US"/>
        </w:rPr>
        <w:t>Hofstede, G. (2001)</w:t>
      </w:r>
      <w:r w:rsidRPr="00C73743">
        <w:rPr>
          <w:lang w:val="en-US"/>
        </w:rPr>
        <w:t xml:space="preserve">. </w:t>
      </w:r>
      <w:r w:rsidRPr="00C73743">
        <w:rPr>
          <w:lang w:val="en-US"/>
        </w:rPr>
        <w:t>Culture's Consequences: Comparing Values, Behaviors, Institutions, and Organizations Across Nations</w:t>
      </w:r>
      <w:r w:rsidRPr="00C73743">
        <w:rPr>
          <w:lang w:val="en-US"/>
        </w:rPr>
        <w:t xml:space="preserve">. SAGE </w:t>
      </w:r>
      <w:r w:rsidRPr="00C73743">
        <w:rPr>
          <w:lang w:val="en-US"/>
        </w:rPr>
        <w:t xml:space="preserve">Publications. DOI: </w:t>
      </w:r>
      <w:hyperlink r:id="rId19">
        <w:r>
          <w:rPr>
            <w:rFonts w:ascii="Calibri" w:eastAsia="Calibri" w:hAnsi="Calibri" w:cs="Calibri"/>
            <w:sz w:val="24"/>
            <w:szCs w:val="24"/>
          </w:rPr>
          <w:t>10.1016/S0005-7967(02)00184-5</w:t>
        </w:r>
      </w:hyperlink>
      <w:bookmarkStart w:id="7" w:name="_cfx0h9f6b78o" w:colFirst="0" w:colLast="0"/>
      <w:bookmarkEnd w:id="7"/>
    </w:p>
    <w:p w:rsidR="00BA09CD" w:rsidRDefault="00BA09CD" w:rsidP="00FF3E75">
      <w:pPr>
        <w:spacing w:before="280" w:after="280" w:line="360" w:lineRule="auto"/>
        <w:jc w:val="both"/>
        <w:rPr>
          <w:lang w:val="en-US"/>
        </w:rPr>
      </w:pPr>
    </w:p>
    <w:p w:rsidR="00BA09CD" w:rsidRPr="00B00804" w:rsidRDefault="00BA09CD" w:rsidP="00FF3E75">
      <w:pPr>
        <w:spacing w:before="280" w:after="280" w:line="360" w:lineRule="auto"/>
        <w:jc w:val="both"/>
        <w:rPr>
          <w:lang w:val="en-US"/>
        </w:rPr>
      </w:pPr>
    </w:p>
    <w:p w:rsidR="00136D05" w:rsidRPr="00C73743" w:rsidRDefault="005B24D2" w:rsidP="00FF3E75">
      <w:pPr>
        <w:pStyle w:val="berschrift1"/>
        <w:numPr>
          <w:ilvl w:val="0"/>
          <w:numId w:val="20"/>
        </w:numPr>
        <w:spacing w:line="360" w:lineRule="auto"/>
        <w:rPr>
          <w:b/>
          <w:sz w:val="30"/>
          <w:szCs w:val="30"/>
        </w:rPr>
      </w:pPr>
      <w:proofErr w:type="spellStart"/>
      <w:r w:rsidRPr="00C73743">
        <w:rPr>
          <w:b/>
          <w:sz w:val="30"/>
          <w:szCs w:val="30"/>
        </w:rPr>
        <w:lastRenderedPageBreak/>
        <w:t>Foresight</w:t>
      </w:r>
      <w:proofErr w:type="spellEnd"/>
      <w:r w:rsidRPr="00C73743">
        <w:rPr>
          <w:b/>
          <w:sz w:val="30"/>
          <w:szCs w:val="30"/>
        </w:rPr>
        <w:t xml:space="preserve"> and Narratives </w:t>
      </w:r>
    </w:p>
    <w:p w:rsidR="00136D05" w:rsidRDefault="00136D05" w:rsidP="00FF3E75">
      <w:pPr>
        <w:spacing w:line="360" w:lineRule="auto"/>
        <w:jc w:val="both"/>
        <w:rPr>
          <w:b/>
        </w:rPr>
      </w:pPr>
    </w:p>
    <w:p w:rsidR="00C73743" w:rsidRPr="00C73743" w:rsidRDefault="00C73743" w:rsidP="00FF3E75">
      <w:pPr>
        <w:spacing w:line="360" w:lineRule="auto"/>
        <w:jc w:val="both"/>
        <w:rPr>
          <w:b/>
          <w:lang w:val="en-US"/>
        </w:rPr>
      </w:pPr>
      <w:r w:rsidRPr="00C73743">
        <w:rPr>
          <w:b/>
          <w:lang w:val="en-US"/>
        </w:rPr>
        <w:t xml:space="preserve">Figure </w:t>
      </w:r>
      <w:proofErr w:type="gramStart"/>
      <w:r w:rsidRPr="00C73743">
        <w:rPr>
          <w:b/>
          <w:lang w:val="en-US"/>
        </w:rPr>
        <w:t>4 :</w:t>
      </w:r>
      <w:proofErr w:type="gramEnd"/>
      <w:r w:rsidRPr="00C73743">
        <w:rPr>
          <w:b/>
          <w:lang w:val="en-US"/>
        </w:rPr>
        <w:t xml:space="preserve"> Examples of illustrations used by</w:t>
      </w:r>
      <w:r>
        <w:rPr>
          <w:b/>
          <w:lang w:val="en-US"/>
        </w:rPr>
        <w:t xml:space="preserve"> the SQUAD during foresight exercises </w:t>
      </w:r>
    </w:p>
    <w:p w:rsidR="00C73743" w:rsidRPr="00BA09CD" w:rsidRDefault="00C73743" w:rsidP="00BA09CD">
      <w:pPr>
        <w:spacing w:line="360" w:lineRule="auto"/>
        <w:jc w:val="center"/>
        <w:rPr>
          <w:b/>
          <w:lang w:val="en-US"/>
        </w:rPr>
      </w:pPr>
      <w:r>
        <w:rPr>
          <w:rFonts w:ascii="Calibri" w:eastAsia="Calibri" w:hAnsi="Calibri" w:cs="Calibri"/>
          <w:b/>
          <w:noProof/>
        </w:rPr>
        <w:drawing>
          <wp:inline distT="114300" distB="114300" distL="114300" distR="114300" wp14:anchorId="657D1C18" wp14:editId="0BABBC15">
            <wp:extent cx="4941914" cy="3095625"/>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953521" cy="3102896"/>
                    </a:xfrm>
                    <a:prstGeom prst="rect">
                      <a:avLst/>
                    </a:prstGeom>
                    <a:ln/>
                  </pic:spPr>
                </pic:pic>
              </a:graphicData>
            </a:graphic>
          </wp:inline>
        </w:drawing>
      </w:r>
    </w:p>
    <w:p w:rsidR="00136D05" w:rsidRPr="006F3E66" w:rsidRDefault="005B24D2" w:rsidP="00FF3E75">
      <w:pPr>
        <w:spacing w:line="360" w:lineRule="auto"/>
        <w:jc w:val="both"/>
        <w:rPr>
          <w:highlight w:val="yellow"/>
          <w:lang w:val="en-US"/>
        </w:rPr>
      </w:pPr>
      <w:r w:rsidRPr="006F3E66">
        <w:rPr>
          <w:lang w:val="en-US"/>
        </w:rPr>
        <w:t xml:space="preserve">The R-SQUAD foresight approach builds on </w:t>
      </w:r>
      <w:r w:rsidRPr="00C73743">
        <w:rPr>
          <w:lang w:val="en-US"/>
        </w:rPr>
        <w:t xml:space="preserve">using </w:t>
      </w:r>
      <w:hyperlink r:id="rId21">
        <w:r w:rsidRPr="00C73743">
          <w:rPr>
            <w:lang w:val="en-US"/>
          </w:rPr>
          <w:t>immersive scenarios and narratives</w:t>
        </w:r>
      </w:hyperlink>
      <w:r w:rsidRPr="006F3E66">
        <w:rPr>
          <w:lang w:val="en-US"/>
        </w:rPr>
        <w:t xml:space="preserve"> with regard to possible future crisis events</w:t>
      </w:r>
      <w:r w:rsidR="00C73743">
        <w:rPr>
          <w:lang w:val="en-US"/>
        </w:rPr>
        <w:t>.</w:t>
      </w:r>
    </w:p>
    <w:p w:rsidR="00136D05" w:rsidRPr="006F3E66" w:rsidRDefault="00136D05" w:rsidP="00FF3E75">
      <w:pPr>
        <w:spacing w:line="360" w:lineRule="auto"/>
        <w:jc w:val="both"/>
        <w:rPr>
          <w:b/>
          <w:lang w:val="en-US"/>
        </w:rPr>
      </w:pPr>
    </w:p>
    <w:p w:rsidR="00136D05" w:rsidRDefault="005B24D2" w:rsidP="00FF3E75">
      <w:pPr>
        <w:spacing w:line="360" w:lineRule="auto"/>
        <w:jc w:val="both"/>
        <w:rPr>
          <w:b/>
        </w:rPr>
      </w:pPr>
      <w:r>
        <w:rPr>
          <w:b/>
        </w:rPr>
        <w:t xml:space="preserve">Notes </w:t>
      </w:r>
      <w:proofErr w:type="spellStart"/>
      <w:r>
        <w:rPr>
          <w:b/>
        </w:rPr>
        <w:t>from</w:t>
      </w:r>
      <w:proofErr w:type="spellEnd"/>
      <w:r>
        <w:rPr>
          <w:b/>
        </w:rPr>
        <w:t xml:space="preserve"> </w:t>
      </w:r>
      <w:proofErr w:type="spellStart"/>
      <w:r>
        <w:rPr>
          <w:b/>
        </w:rPr>
        <w:t>the</w:t>
      </w:r>
      <w:proofErr w:type="spellEnd"/>
      <w:r>
        <w:rPr>
          <w:b/>
        </w:rPr>
        <w:t xml:space="preserve"> </w:t>
      </w:r>
      <w:proofErr w:type="spellStart"/>
      <w:r>
        <w:rPr>
          <w:b/>
        </w:rPr>
        <w:t>discussion</w:t>
      </w:r>
      <w:proofErr w:type="spellEnd"/>
      <w:r>
        <w:rPr>
          <w:b/>
        </w:rPr>
        <w:t>:</w:t>
      </w:r>
    </w:p>
    <w:p w:rsidR="00136D05" w:rsidRDefault="00136D05" w:rsidP="00FF3E75">
      <w:pPr>
        <w:spacing w:line="360" w:lineRule="auto"/>
        <w:jc w:val="both"/>
      </w:pPr>
    </w:p>
    <w:p w:rsidR="00136D05" w:rsidRPr="006F3E66" w:rsidRDefault="005B24D2" w:rsidP="00FF3E75">
      <w:pPr>
        <w:numPr>
          <w:ilvl w:val="0"/>
          <w:numId w:val="15"/>
        </w:numPr>
        <w:spacing w:line="360" w:lineRule="auto"/>
        <w:jc w:val="both"/>
        <w:rPr>
          <w:lang w:val="en-US"/>
        </w:rPr>
      </w:pPr>
      <w:r w:rsidRPr="006F3E66">
        <w:rPr>
          <w:lang w:val="en-US"/>
        </w:rPr>
        <w:t>On easy way to check if foresight methods had an impact on the participants is to</w:t>
      </w:r>
      <w:r w:rsidRPr="006F3E66">
        <w:rPr>
          <w:lang w:val="en-US"/>
        </w:rPr>
        <w:t xml:space="preserve"> follow-up asking the participants </w:t>
      </w:r>
      <w:r w:rsidR="00381440" w:rsidRPr="006F3E66">
        <w:rPr>
          <w:lang w:val="en-US"/>
        </w:rPr>
        <w:t>sometime</w:t>
      </w:r>
      <w:r w:rsidRPr="006F3E66">
        <w:rPr>
          <w:lang w:val="en-US"/>
        </w:rPr>
        <w:t xml:space="preserve"> after a workshop if they could made use of it</w:t>
      </w:r>
    </w:p>
    <w:p w:rsidR="00136D05" w:rsidRPr="006F3E66" w:rsidRDefault="005B24D2" w:rsidP="00FF3E75">
      <w:pPr>
        <w:numPr>
          <w:ilvl w:val="0"/>
          <w:numId w:val="15"/>
        </w:numPr>
        <w:spacing w:line="360" w:lineRule="auto"/>
        <w:jc w:val="both"/>
        <w:rPr>
          <w:lang w:val="en-US"/>
        </w:rPr>
      </w:pPr>
      <w:r w:rsidRPr="006F3E66">
        <w:rPr>
          <w:lang w:val="en-US"/>
        </w:rPr>
        <w:t xml:space="preserve">In order to strengthen our foresight approach, we should ask ourselves why foresight is needed for specific </w:t>
      </w:r>
      <w:proofErr w:type="spellStart"/>
      <w:r w:rsidRPr="006F3E66">
        <w:rPr>
          <w:lang w:val="en-US"/>
        </w:rPr>
        <w:t>organisations</w:t>
      </w:r>
      <w:proofErr w:type="spellEnd"/>
      <w:r w:rsidRPr="006F3E66">
        <w:rPr>
          <w:lang w:val="en-US"/>
        </w:rPr>
        <w:t>/ individuals (e.g. dealing with uncertainty</w:t>
      </w:r>
      <w:r w:rsidRPr="006F3E66">
        <w:rPr>
          <w:lang w:val="en-US"/>
        </w:rPr>
        <w:t xml:space="preserve"> (“Uncertainty is certain.”), survival)?</w:t>
      </w:r>
    </w:p>
    <w:p w:rsidR="00136D05" w:rsidRPr="006F3E66" w:rsidRDefault="005B24D2" w:rsidP="00FF3E75">
      <w:pPr>
        <w:numPr>
          <w:ilvl w:val="0"/>
          <w:numId w:val="15"/>
        </w:numPr>
        <w:spacing w:line="360" w:lineRule="auto"/>
        <w:jc w:val="both"/>
        <w:rPr>
          <w:lang w:val="en-US"/>
        </w:rPr>
      </w:pPr>
      <w:r w:rsidRPr="006F3E66">
        <w:rPr>
          <w:lang w:val="en-US"/>
        </w:rPr>
        <w:t xml:space="preserve">Crisis management is mainly about dealing with uncertainty (crisis management is 80% intuition/adaptation and 20% planning) </w:t>
      </w:r>
    </w:p>
    <w:p w:rsidR="00136D05" w:rsidRDefault="005B24D2" w:rsidP="00FF3E75">
      <w:pPr>
        <w:numPr>
          <w:ilvl w:val="0"/>
          <w:numId w:val="15"/>
        </w:numPr>
        <w:spacing w:line="360" w:lineRule="auto"/>
        <w:jc w:val="both"/>
      </w:pPr>
      <w:r w:rsidRPr="006F3E66">
        <w:rPr>
          <w:lang w:val="en-US"/>
        </w:rPr>
        <w:t xml:space="preserve">What kind of knowledge is needed for </w:t>
      </w:r>
      <w:proofErr w:type="spellStart"/>
      <w:r w:rsidRPr="006F3E66">
        <w:rPr>
          <w:lang w:val="en-US"/>
        </w:rPr>
        <w:t>organisations</w:t>
      </w:r>
      <w:proofErr w:type="spellEnd"/>
      <w:r w:rsidRPr="006F3E66">
        <w:rPr>
          <w:lang w:val="en-US"/>
        </w:rPr>
        <w:t xml:space="preserve">? What kind of knowledge is produced by </w:t>
      </w:r>
      <w:r w:rsidRPr="006F3E66">
        <w:rPr>
          <w:lang w:val="en-US"/>
        </w:rPr>
        <w:t xml:space="preserve">foresight? </w:t>
      </w:r>
      <w:proofErr w:type="spellStart"/>
      <w:r>
        <w:t>Anticipatory</w:t>
      </w:r>
      <w:proofErr w:type="spellEnd"/>
      <w:r>
        <w:t xml:space="preserve"> </w:t>
      </w:r>
      <w:proofErr w:type="spellStart"/>
      <w:r>
        <w:t>knowledge</w:t>
      </w:r>
      <w:proofErr w:type="spellEnd"/>
      <w:r>
        <w:t xml:space="preserve">? </w:t>
      </w:r>
      <w:proofErr w:type="spellStart"/>
      <w:r>
        <w:t>Why</w:t>
      </w:r>
      <w:proofErr w:type="spellEnd"/>
      <w:r>
        <w:t xml:space="preserve"> </w:t>
      </w:r>
      <w:proofErr w:type="spellStart"/>
      <w:r>
        <w:t>is</w:t>
      </w:r>
      <w:proofErr w:type="spellEnd"/>
      <w:r>
        <w:t xml:space="preserve"> </w:t>
      </w:r>
      <w:proofErr w:type="spellStart"/>
      <w:r>
        <w:t>anticipatory</w:t>
      </w:r>
      <w:proofErr w:type="spellEnd"/>
      <w:r>
        <w:t xml:space="preserve"> </w:t>
      </w:r>
      <w:proofErr w:type="spellStart"/>
      <w:r>
        <w:t>knowledge</w:t>
      </w:r>
      <w:proofErr w:type="spellEnd"/>
      <w:r>
        <w:t xml:space="preserve"> </w:t>
      </w:r>
      <w:proofErr w:type="spellStart"/>
      <w:r>
        <w:t>needed</w:t>
      </w:r>
      <w:proofErr w:type="spellEnd"/>
      <w:r>
        <w:t>?</w:t>
      </w:r>
    </w:p>
    <w:p w:rsidR="00136D05" w:rsidRPr="006F3E66" w:rsidRDefault="005B24D2" w:rsidP="00FF3E75">
      <w:pPr>
        <w:numPr>
          <w:ilvl w:val="0"/>
          <w:numId w:val="15"/>
        </w:numPr>
        <w:spacing w:line="360" w:lineRule="auto"/>
        <w:jc w:val="both"/>
        <w:rPr>
          <w:lang w:val="en-US"/>
        </w:rPr>
      </w:pPr>
      <w:r w:rsidRPr="006F3E66">
        <w:rPr>
          <w:lang w:val="en-US"/>
        </w:rPr>
        <w:lastRenderedPageBreak/>
        <w:t xml:space="preserve">Foresight could also be used to produce (make available) local/ tactical knowledge regarding a specific locality which could help respective </w:t>
      </w:r>
      <w:proofErr w:type="spellStart"/>
      <w:r w:rsidRPr="006F3E66">
        <w:rPr>
          <w:lang w:val="en-US"/>
        </w:rPr>
        <w:t>organisations</w:t>
      </w:r>
      <w:proofErr w:type="spellEnd"/>
      <w:r w:rsidRPr="006F3E66">
        <w:rPr>
          <w:lang w:val="en-US"/>
        </w:rPr>
        <w:t xml:space="preserve"> within this locality to better prepare for future crisis events</w:t>
      </w:r>
    </w:p>
    <w:p w:rsidR="00136D05" w:rsidRPr="006F3E66" w:rsidRDefault="005B24D2" w:rsidP="00FF3E75">
      <w:pPr>
        <w:numPr>
          <w:ilvl w:val="0"/>
          <w:numId w:val="15"/>
        </w:numPr>
        <w:spacing w:line="360" w:lineRule="auto"/>
        <w:jc w:val="both"/>
        <w:rPr>
          <w:lang w:val="en-US"/>
        </w:rPr>
      </w:pPr>
      <w:r w:rsidRPr="006F3E66">
        <w:rPr>
          <w:lang w:val="en-US"/>
        </w:rPr>
        <w:t>To increase the impact, we should int</w:t>
      </w:r>
      <w:r w:rsidRPr="006F3E66">
        <w:rPr>
          <w:lang w:val="en-US"/>
        </w:rPr>
        <w:t xml:space="preserve">egrate to </w:t>
      </w:r>
      <w:proofErr w:type="spellStart"/>
      <w:r w:rsidRPr="006F3E66">
        <w:rPr>
          <w:lang w:val="en-US"/>
        </w:rPr>
        <w:t>organisations</w:t>
      </w:r>
      <w:proofErr w:type="spellEnd"/>
      <w:r w:rsidRPr="006F3E66">
        <w:rPr>
          <w:lang w:val="en-US"/>
        </w:rPr>
        <w:t xml:space="preserve"> already in the design of a foresight workshop? What is needed? What fits the </w:t>
      </w:r>
      <w:proofErr w:type="spellStart"/>
      <w:r w:rsidRPr="006F3E66">
        <w:rPr>
          <w:lang w:val="en-US"/>
        </w:rPr>
        <w:t>organisations</w:t>
      </w:r>
      <w:proofErr w:type="spellEnd"/>
      <w:r w:rsidRPr="006F3E66">
        <w:rPr>
          <w:lang w:val="en-US"/>
        </w:rPr>
        <w:t xml:space="preserve">? We have to make them personally/ emotionally attached to it (e.g. </w:t>
      </w:r>
      <w:proofErr w:type="spellStart"/>
      <w:r w:rsidRPr="006F3E66">
        <w:rPr>
          <w:lang w:val="en-US"/>
        </w:rPr>
        <w:t>threatcasting</w:t>
      </w:r>
      <w:proofErr w:type="spellEnd"/>
      <w:r w:rsidRPr="006F3E66">
        <w:rPr>
          <w:lang w:val="en-US"/>
        </w:rPr>
        <w:t xml:space="preserve"> uses avatars to create an emotional link between </w:t>
      </w:r>
      <w:proofErr w:type="spellStart"/>
      <w:r w:rsidRPr="006F3E66">
        <w:rPr>
          <w:lang w:val="en-US"/>
        </w:rPr>
        <w:t>organisatio</w:t>
      </w:r>
      <w:r w:rsidRPr="006F3E66">
        <w:rPr>
          <w:lang w:val="en-US"/>
        </w:rPr>
        <w:t>n</w:t>
      </w:r>
      <w:proofErr w:type="spellEnd"/>
      <w:r w:rsidRPr="006F3E66">
        <w:rPr>
          <w:lang w:val="en-US"/>
        </w:rPr>
        <w:t xml:space="preserve"> and narrative/ story)</w:t>
      </w:r>
    </w:p>
    <w:p w:rsidR="00136D05" w:rsidRPr="006F3E66" w:rsidRDefault="005B24D2" w:rsidP="00FF3E75">
      <w:pPr>
        <w:numPr>
          <w:ilvl w:val="0"/>
          <w:numId w:val="15"/>
        </w:numPr>
        <w:spacing w:line="360" w:lineRule="auto"/>
        <w:jc w:val="both"/>
        <w:rPr>
          <w:lang w:val="en-US"/>
        </w:rPr>
      </w:pPr>
      <w:r w:rsidRPr="006F3E66">
        <w:rPr>
          <w:lang w:val="en-US"/>
        </w:rPr>
        <w:t xml:space="preserve">Importance of the personal network in case of crisis. It is an asset that is not learnable or accessible by anybody -&gt; Intrinsic knowledge.  </w:t>
      </w:r>
    </w:p>
    <w:p w:rsidR="00136D05" w:rsidRPr="006F3E66" w:rsidRDefault="005B24D2" w:rsidP="00FF3E75">
      <w:pPr>
        <w:numPr>
          <w:ilvl w:val="0"/>
          <w:numId w:val="15"/>
        </w:numPr>
        <w:spacing w:line="360" w:lineRule="auto"/>
        <w:jc w:val="both"/>
        <w:rPr>
          <w:lang w:val="en-US"/>
        </w:rPr>
      </w:pPr>
      <w:r w:rsidRPr="006F3E66">
        <w:rPr>
          <w:lang w:val="en-US"/>
        </w:rPr>
        <w:t xml:space="preserve">Decision making process depends on the knowledge, time and network available in a certain </w:t>
      </w:r>
      <w:r w:rsidRPr="006F3E66">
        <w:rPr>
          <w:lang w:val="en-US"/>
        </w:rPr>
        <w:t>situation</w:t>
      </w:r>
    </w:p>
    <w:p w:rsidR="00136D05" w:rsidRPr="006F3E66" w:rsidRDefault="005B24D2" w:rsidP="00FF3E75">
      <w:pPr>
        <w:numPr>
          <w:ilvl w:val="0"/>
          <w:numId w:val="15"/>
        </w:numPr>
        <w:spacing w:line="360" w:lineRule="auto"/>
        <w:jc w:val="both"/>
        <w:rPr>
          <w:lang w:val="en-US"/>
        </w:rPr>
      </w:pPr>
      <w:r w:rsidRPr="006F3E66">
        <w:rPr>
          <w:lang w:val="en-US"/>
        </w:rPr>
        <w:t>Be honest: A single workshop will not change much; to increase impact, a longer process with more and different methods is needed -&gt; Question: Which methods are needed to be produced, which type of knowledge for which objective?</w:t>
      </w:r>
    </w:p>
    <w:p w:rsidR="00136D05" w:rsidRPr="006F3E66" w:rsidRDefault="005B24D2" w:rsidP="00FF3E75">
      <w:pPr>
        <w:numPr>
          <w:ilvl w:val="0"/>
          <w:numId w:val="15"/>
        </w:numPr>
        <w:spacing w:line="360" w:lineRule="auto"/>
        <w:jc w:val="both"/>
        <w:rPr>
          <w:lang w:val="en-US"/>
        </w:rPr>
      </w:pPr>
      <w:r w:rsidRPr="006F3E66">
        <w:rPr>
          <w:lang w:val="en-US"/>
        </w:rPr>
        <w:t>To have a long-la</w:t>
      </w:r>
      <w:r w:rsidRPr="006F3E66">
        <w:rPr>
          <w:lang w:val="en-US"/>
        </w:rPr>
        <w:t xml:space="preserve">sting effect, it means keep people involved, working on a regular basis. It also depends on the backgrounds of the project participants.  </w:t>
      </w:r>
    </w:p>
    <w:p w:rsidR="00136D05" w:rsidRPr="006F3E66" w:rsidRDefault="005B24D2" w:rsidP="00FF3E75">
      <w:pPr>
        <w:numPr>
          <w:ilvl w:val="0"/>
          <w:numId w:val="15"/>
        </w:numPr>
        <w:spacing w:line="360" w:lineRule="auto"/>
        <w:jc w:val="both"/>
        <w:rPr>
          <w:lang w:val="en-US"/>
        </w:rPr>
      </w:pPr>
      <w:r w:rsidRPr="006F3E66">
        <w:rPr>
          <w:lang w:val="en-US"/>
        </w:rPr>
        <w:t xml:space="preserve">When designing a foresight approach, we need to distinguish between target groups (public/ private/ small/ big </w:t>
      </w:r>
      <w:proofErr w:type="spellStart"/>
      <w:r w:rsidRPr="006F3E66">
        <w:rPr>
          <w:lang w:val="en-US"/>
        </w:rPr>
        <w:t>organi</w:t>
      </w:r>
      <w:r w:rsidRPr="006F3E66">
        <w:rPr>
          <w:lang w:val="en-US"/>
        </w:rPr>
        <w:t>sations</w:t>
      </w:r>
      <w:proofErr w:type="spellEnd"/>
      <w:r w:rsidRPr="006F3E66">
        <w:rPr>
          <w:lang w:val="en-US"/>
        </w:rPr>
        <w:t>) and customize the approach accordingly</w:t>
      </w:r>
    </w:p>
    <w:p w:rsidR="00136D05" w:rsidRDefault="005B24D2" w:rsidP="00FF3E75">
      <w:pPr>
        <w:numPr>
          <w:ilvl w:val="0"/>
          <w:numId w:val="15"/>
        </w:numPr>
        <w:spacing w:line="360" w:lineRule="auto"/>
        <w:jc w:val="both"/>
        <w:rPr>
          <w:lang w:val="en-US"/>
        </w:rPr>
      </w:pPr>
      <w:r w:rsidRPr="006F3E66">
        <w:rPr>
          <w:lang w:val="en-US"/>
        </w:rPr>
        <w:t xml:space="preserve">For public </w:t>
      </w:r>
      <w:proofErr w:type="spellStart"/>
      <w:r w:rsidRPr="006F3E66">
        <w:rPr>
          <w:lang w:val="en-US"/>
        </w:rPr>
        <w:t>organisations</w:t>
      </w:r>
      <w:proofErr w:type="spellEnd"/>
      <w:r w:rsidRPr="006F3E66">
        <w:rPr>
          <w:lang w:val="en-US"/>
        </w:rPr>
        <w:t xml:space="preserve">: You need to establish structures and processes in line with the </w:t>
      </w:r>
      <w:proofErr w:type="spellStart"/>
      <w:r w:rsidRPr="006F3E66">
        <w:rPr>
          <w:lang w:val="en-US"/>
        </w:rPr>
        <w:t>organisational</w:t>
      </w:r>
      <w:proofErr w:type="spellEnd"/>
      <w:r w:rsidRPr="006F3E66">
        <w:rPr>
          <w:lang w:val="en-US"/>
        </w:rPr>
        <w:t xml:space="preserve"> culture that deals with crisis management; without these pre-defined structures and processes it is rea</w:t>
      </w:r>
      <w:r w:rsidRPr="006F3E66">
        <w:rPr>
          <w:lang w:val="en-US"/>
        </w:rPr>
        <w:t>lly difficult for a</w:t>
      </w:r>
      <w:r w:rsidRPr="006F3E66">
        <w:rPr>
          <w:lang w:val="en-US"/>
        </w:rPr>
        <w:t xml:space="preserve"> public </w:t>
      </w:r>
      <w:proofErr w:type="spellStart"/>
      <w:r w:rsidRPr="006F3E66">
        <w:rPr>
          <w:lang w:val="en-US"/>
        </w:rPr>
        <w:t>organisation</w:t>
      </w:r>
      <w:proofErr w:type="spellEnd"/>
      <w:r w:rsidRPr="006F3E66">
        <w:rPr>
          <w:lang w:val="en-US"/>
        </w:rPr>
        <w:t xml:space="preserve"> to absorb any knowledge; to establish such structures and processes for public </w:t>
      </w:r>
      <w:proofErr w:type="spellStart"/>
      <w:r w:rsidRPr="006F3E66">
        <w:rPr>
          <w:lang w:val="en-US"/>
        </w:rPr>
        <w:t>organisations</w:t>
      </w:r>
      <w:proofErr w:type="spellEnd"/>
      <w:r w:rsidRPr="006F3E66">
        <w:rPr>
          <w:lang w:val="en-US"/>
        </w:rPr>
        <w:t xml:space="preserve"> you need a political will to do so since everything depends on the funds available</w:t>
      </w:r>
    </w:p>
    <w:p w:rsidR="00136D05" w:rsidRPr="006F3E66" w:rsidRDefault="00136D05" w:rsidP="00FF3E75">
      <w:pPr>
        <w:spacing w:line="360" w:lineRule="auto"/>
        <w:jc w:val="both"/>
        <w:rPr>
          <w:lang w:val="en-US"/>
        </w:rPr>
      </w:pPr>
    </w:p>
    <w:p w:rsidR="00136D05" w:rsidRPr="00C73743" w:rsidRDefault="005B24D2" w:rsidP="00FF3E75">
      <w:pPr>
        <w:spacing w:line="360" w:lineRule="auto"/>
        <w:jc w:val="both"/>
        <w:rPr>
          <w:b/>
        </w:rPr>
      </w:pPr>
      <w:r w:rsidRPr="00C73743">
        <w:rPr>
          <w:b/>
        </w:rPr>
        <w:t>References</w:t>
      </w:r>
    </w:p>
    <w:p w:rsidR="00136D05" w:rsidRPr="006F3E66" w:rsidRDefault="005B24D2" w:rsidP="00FF3E75">
      <w:pPr>
        <w:spacing w:before="240" w:after="240" w:line="360" w:lineRule="auto"/>
        <w:jc w:val="both"/>
        <w:rPr>
          <w:lang w:val="en-US"/>
        </w:rPr>
      </w:pPr>
      <w:proofErr w:type="spellStart"/>
      <w:r w:rsidRPr="006F3E66">
        <w:rPr>
          <w:lang w:val="en-US"/>
        </w:rPr>
        <w:t>Daimer</w:t>
      </w:r>
      <w:proofErr w:type="spellEnd"/>
      <w:r w:rsidRPr="006F3E66">
        <w:rPr>
          <w:lang w:val="en-US"/>
        </w:rPr>
        <w:t xml:space="preserve"> S./ Havas A./ </w:t>
      </w:r>
      <w:proofErr w:type="spellStart"/>
      <w:r w:rsidRPr="006F3E66">
        <w:rPr>
          <w:lang w:val="en-US"/>
        </w:rPr>
        <w:t>Cuhls</w:t>
      </w:r>
      <w:proofErr w:type="spellEnd"/>
      <w:r w:rsidRPr="006F3E66">
        <w:rPr>
          <w:lang w:val="en-US"/>
        </w:rPr>
        <w:t xml:space="preserve"> </w:t>
      </w:r>
      <w:r w:rsidRPr="006F3E66">
        <w:rPr>
          <w:lang w:val="en-US"/>
        </w:rPr>
        <w:t xml:space="preserve">K./ </w:t>
      </w:r>
      <w:proofErr w:type="spellStart"/>
      <w:r w:rsidRPr="006F3E66">
        <w:rPr>
          <w:lang w:val="en-US"/>
        </w:rPr>
        <w:t>Yorulmaz</w:t>
      </w:r>
      <w:proofErr w:type="spellEnd"/>
      <w:r w:rsidRPr="006F3E66">
        <w:rPr>
          <w:lang w:val="en-US"/>
        </w:rPr>
        <w:t xml:space="preserve"> M./ </w:t>
      </w:r>
      <w:proofErr w:type="spellStart"/>
      <w:r w:rsidRPr="006F3E66">
        <w:rPr>
          <w:lang w:val="en-US"/>
        </w:rPr>
        <w:t>Vrgovic</w:t>
      </w:r>
      <w:proofErr w:type="spellEnd"/>
      <w:r w:rsidRPr="006F3E66">
        <w:rPr>
          <w:lang w:val="en-US"/>
        </w:rPr>
        <w:t xml:space="preserve"> P. (2021): Multiple futures for society, research, and innovation in the European Union: jumping to 2038, Journal of Responsible Innovation, Vol. 8, No. 2, pp. 148–174.</w:t>
      </w:r>
    </w:p>
    <w:p w:rsidR="00136D05" w:rsidRPr="006F3E66" w:rsidRDefault="005B24D2" w:rsidP="00FF3E75">
      <w:pPr>
        <w:spacing w:before="240" w:after="240" w:line="360" w:lineRule="auto"/>
        <w:jc w:val="both"/>
        <w:rPr>
          <w:lang w:val="en-US"/>
        </w:rPr>
      </w:pPr>
      <w:r w:rsidRPr="006F3E66">
        <w:rPr>
          <w:lang w:val="en-US"/>
        </w:rPr>
        <w:t xml:space="preserve">Durante I./ </w:t>
      </w:r>
      <w:proofErr w:type="spellStart"/>
      <w:r w:rsidRPr="006F3E66">
        <w:rPr>
          <w:lang w:val="en-US"/>
        </w:rPr>
        <w:t>Dell’Era</w:t>
      </w:r>
      <w:proofErr w:type="spellEnd"/>
      <w:r w:rsidRPr="006F3E66">
        <w:rPr>
          <w:lang w:val="en-US"/>
        </w:rPr>
        <w:t xml:space="preserve"> C./ </w:t>
      </w:r>
      <w:proofErr w:type="spellStart"/>
      <w:r w:rsidRPr="006F3E66">
        <w:rPr>
          <w:lang w:val="en-US"/>
        </w:rPr>
        <w:t>Magistretti</w:t>
      </w:r>
      <w:proofErr w:type="spellEnd"/>
      <w:r w:rsidRPr="006F3E66">
        <w:rPr>
          <w:lang w:val="en-US"/>
        </w:rPr>
        <w:t xml:space="preserve"> S./ Pham C. T. A. (2024</w:t>
      </w:r>
      <w:proofErr w:type="gramStart"/>
      <w:r w:rsidRPr="006F3E66">
        <w:rPr>
          <w:lang w:val="en-US"/>
        </w:rPr>
        <w:t xml:space="preserve">) </w:t>
      </w:r>
      <w:r w:rsidRPr="006F3E66">
        <w:rPr>
          <w:lang w:val="en-US"/>
        </w:rPr>
        <w:t>:</w:t>
      </w:r>
      <w:proofErr w:type="gramEnd"/>
      <w:r w:rsidRPr="006F3E66">
        <w:rPr>
          <w:lang w:val="en-US"/>
        </w:rPr>
        <w:t xml:space="preserve"> Predictive or imaginative futures? Experimenting with alternative future-making approaches, Wiley, Volume 33, No. 3, pp. 496-517.</w:t>
      </w:r>
    </w:p>
    <w:p w:rsidR="00136D05" w:rsidRPr="006F3E66" w:rsidRDefault="005B24D2" w:rsidP="00FF3E75">
      <w:pPr>
        <w:spacing w:before="240" w:after="240" w:line="360" w:lineRule="auto"/>
        <w:jc w:val="both"/>
        <w:rPr>
          <w:shd w:val="clear" w:color="auto" w:fill="FCFCFC"/>
          <w:lang w:val="en-US"/>
        </w:rPr>
      </w:pPr>
      <w:proofErr w:type="spellStart"/>
      <w:r w:rsidRPr="006F3E66">
        <w:rPr>
          <w:shd w:val="clear" w:color="auto" w:fill="FCFCFC"/>
          <w:lang w:val="en-US"/>
        </w:rPr>
        <w:lastRenderedPageBreak/>
        <w:t>Kuusi</w:t>
      </w:r>
      <w:proofErr w:type="spellEnd"/>
      <w:r w:rsidRPr="006F3E66">
        <w:rPr>
          <w:shd w:val="clear" w:color="auto" w:fill="FCFCFC"/>
          <w:lang w:val="en-US"/>
        </w:rPr>
        <w:t xml:space="preserve"> O./ </w:t>
      </w:r>
      <w:proofErr w:type="spellStart"/>
      <w:r w:rsidRPr="006F3E66">
        <w:rPr>
          <w:shd w:val="clear" w:color="auto" w:fill="FCFCFC"/>
          <w:lang w:val="en-US"/>
        </w:rPr>
        <w:t>Cuhls</w:t>
      </w:r>
      <w:proofErr w:type="spellEnd"/>
      <w:r w:rsidRPr="006F3E66">
        <w:rPr>
          <w:shd w:val="clear" w:color="auto" w:fill="FCFCFC"/>
          <w:lang w:val="en-US"/>
        </w:rPr>
        <w:t xml:space="preserve"> K./ </w:t>
      </w:r>
      <w:proofErr w:type="spellStart"/>
      <w:r w:rsidRPr="006F3E66">
        <w:rPr>
          <w:shd w:val="clear" w:color="auto" w:fill="FCFCFC"/>
          <w:lang w:val="en-US"/>
        </w:rPr>
        <w:t>Steinmüller</w:t>
      </w:r>
      <w:proofErr w:type="spellEnd"/>
      <w:r w:rsidRPr="006F3E66">
        <w:rPr>
          <w:shd w:val="clear" w:color="auto" w:fill="FCFCFC"/>
          <w:lang w:val="en-US"/>
        </w:rPr>
        <w:t xml:space="preserve"> K. (2015): The futures Map and its quality criteria, Eur J Futures Res, Vol. 3, No. 22, pp. </w:t>
      </w:r>
      <w:r w:rsidRPr="006F3E66">
        <w:rPr>
          <w:shd w:val="clear" w:color="auto" w:fill="FCFCFC"/>
          <w:lang w:val="en-US"/>
        </w:rPr>
        <w:t>1-14.</w:t>
      </w:r>
    </w:p>
    <w:p w:rsidR="00136D05" w:rsidRPr="006F3E66" w:rsidRDefault="005B24D2" w:rsidP="00FF3E75">
      <w:pPr>
        <w:spacing w:before="240" w:after="240" w:line="360" w:lineRule="auto"/>
        <w:jc w:val="both"/>
        <w:rPr>
          <w:shd w:val="clear" w:color="auto" w:fill="FCFCFC"/>
          <w:lang w:val="en-US"/>
        </w:rPr>
      </w:pPr>
      <w:r w:rsidRPr="006F3E66">
        <w:rPr>
          <w:shd w:val="clear" w:color="auto" w:fill="FCFCFC"/>
          <w:lang w:val="en-US"/>
        </w:rPr>
        <w:t xml:space="preserve">Muller E./ </w:t>
      </w:r>
      <w:proofErr w:type="spellStart"/>
      <w:r w:rsidRPr="006F3E66">
        <w:rPr>
          <w:shd w:val="clear" w:color="auto" w:fill="FCFCFC"/>
          <w:lang w:val="en-US"/>
        </w:rPr>
        <w:t>Jülicher</w:t>
      </w:r>
      <w:proofErr w:type="spellEnd"/>
      <w:r w:rsidRPr="006F3E66">
        <w:rPr>
          <w:shd w:val="clear" w:color="auto" w:fill="FCFCFC"/>
          <w:lang w:val="en-US"/>
        </w:rPr>
        <w:t xml:space="preserve"> M./ </w:t>
      </w:r>
      <w:proofErr w:type="spellStart"/>
      <w:r w:rsidRPr="006F3E66">
        <w:rPr>
          <w:shd w:val="clear" w:color="auto" w:fill="FCFCFC"/>
          <w:lang w:val="en-US"/>
        </w:rPr>
        <w:t>Gnamm</w:t>
      </w:r>
      <w:proofErr w:type="spellEnd"/>
      <w:r w:rsidRPr="006F3E66">
        <w:rPr>
          <w:shd w:val="clear" w:color="auto" w:fill="FCFCFC"/>
          <w:lang w:val="en-US"/>
        </w:rPr>
        <w:t xml:space="preserve"> M.-B./ </w:t>
      </w:r>
      <w:proofErr w:type="spellStart"/>
      <w:r w:rsidRPr="006F3E66">
        <w:rPr>
          <w:shd w:val="clear" w:color="auto" w:fill="FCFCFC"/>
          <w:lang w:val="en-US"/>
        </w:rPr>
        <w:t>Héraud</w:t>
      </w:r>
      <w:proofErr w:type="spellEnd"/>
      <w:r w:rsidRPr="006F3E66">
        <w:rPr>
          <w:shd w:val="clear" w:color="auto" w:fill="FCFCFC"/>
          <w:lang w:val="en-US"/>
        </w:rPr>
        <w:t xml:space="preserve"> J.-A./ Martins </w:t>
      </w:r>
      <w:proofErr w:type="spellStart"/>
      <w:r w:rsidRPr="006F3E66">
        <w:rPr>
          <w:shd w:val="clear" w:color="auto" w:fill="FCFCFC"/>
          <w:lang w:val="en-US"/>
        </w:rPr>
        <w:t>Nourry</w:t>
      </w:r>
      <w:proofErr w:type="spellEnd"/>
      <w:r w:rsidRPr="006F3E66">
        <w:rPr>
          <w:shd w:val="clear" w:color="auto" w:fill="FCFCFC"/>
          <w:lang w:val="en-US"/>
        </w:rPr>
        <w:t xml:space="preserve"> L./ Raffin D. (2024): Crisis scenarios Strasbourg-</w:t>
      </w:r>
      <w:proofErr w:type="spellStart"/>
      <w:r w:rsidRPr="006F3E66">
        <w:rPr>
          <w:shd w:val="clear" w:color="auto" w:fill="FCFCFC"/>
          <w:lang w:val="en-US"/>
        </w:rPr>
        <w:t>Kehl</w:t>
      </w:r>
      <w:proofErr w:type="spellEnd"/>
      <w:r w:rsidRPr="006F3E66">
        <w:rPr>
          <w:shd w:val="clear" w:color="auto" w:fill="FCFCFC"/>
          <w:lang w:val="en-US"/>
        </w:rPr>
        <w:t xml:space="preserve"> 2050, </w:t>
      </w:r>
      <w:proofErr w:type="spellStart"/>
      <w:r w:rsidRPr="006F3E66">
        <w:rPr>
          <w:shd w:val="clear" w:color="auto" w:fill="FCFCFC"/>
          <w:lang w:val="en-US"/>
        </w:rPr>
        <w:t>evoREG</w:t>
      </w:r>
      <w:proofErr w:type="spellEnd"/>
      <w:r w:rsidRPr="006F3E66">
        <w:rPr>
          <w:shd w:val="clear" w:color="auto" w:fill="FCFCFC"/>
          <w:lang w:val="en-US"/>
        </w:rPr>
        <w:t xml:space="preserve"> Research Note #46, Strasbourg.</w:t>
      </w:r>
    </w:p>
    <w:p w:rsidR="00136D05" w:rsidRPr="006F3E66" w:rsidRDefault="005B24D2" w:rsidP="00FF3E75">
      <w:pPr>
        <w:spacing w:before="240" w:after="240" w:line="360" w:lineRule="auto"/>
        <w:jc w:val="both"/>
        <w:rPr>
          <w:lang w:val="en-US"/>
        </w:rPr>
      </w:pPr>
      <w:proofErr w:type="spellStart"/>
      <w:r w:rsidRPr="006F3E66">
        <w:rPr>
          <w:lang w:val="en-US"/>
        </w:rPr>
        <w:t>Piirainen</w:t>
      </w:r>
      <w:proofErr w:type="spellEnd"/>
      <w:r w:rsidRPr="006F3E66">
        <w:rPr>
          <w:lang w:val="en-US"/>
        </w:rPr>
        <w:t xml:space="preserve"> K. A./ Gonzalez R. A. (2015): Theory of and within foresight — “What does a theory of foresight even mean?”, Technological Forecasting and Social Change, Vol. 96, pp. 191-201.</w:t>
      </w:r>
    </w:p>
    <w:p w:rsidR="00136D05" w:rsidRPr="006F3E66" w:rsidRDefault="005B24D2" w:rsidP="00FF3E75">
      <w:pPr>
        <w:spacing w:before="240" w:after="240" w:line="360" w:lineRule="auto"/>
        <w:jc w:val="both"/>
        <w:rPr>
          <w:lang w:val="en-US"/>
        </w:rPr>
      </w:pPr>
      <w:proofErr w:type="spellStart"/>
      <w:r w:rsidRPr="006F3E66">
        <w:rPr>
          <w:lang w:val="en-US"/>
        </w:rPr>
        <w:t>Roussie</w:t>
      </w:r>
      <w:proofErr w:type="spellEnd"/>
      <w:r w:rsidRPr="006F3E66">
        <w:rPr>
          <w:lang w:val="en-US"/>
        </w:rPr>
        <w:t xml:space="preserve"> M./ Adam-</w:t>
      </w:r>
      <w:proofErr w:type="spellStart"/>
      <w:r w:rsidRPr="006F3E66">
        <w:rPr>
          <w:lang w:val="en-US"/>
        </w:rPr>
        <w:t>Ledunois</w:t>
      </w:r>
      <w:proofErr w:type="spellEnd"/>
      <w:r w:rsidRPr="006F3E66">
        <w:rPr>
          <w:lang w:val="en-US"/>
        </w:rPr>
        <w:t xml:space="preserve"> S./ </w:t>
      </w:r>
      <w:proofErr w:type="spellStart"/>
      <w:r w:rsidRPr="006F3E66">
        <w:rPr>
          <w:lang w:val="en-US"/>
        </w:rPr>
        <w:t>Damart</w:t>
      </w:r>
      <w:proofErr w:type="spellEnd"/>
      <w:r w:rsidRPr="006F3E66">
        <w:rPr>
          <w:lang w:val="en-US"/>
        </w:rPr>
        <w:t xml:space="preserve"> S. (2024): What are foresight-des</w:t>
      </w:r>
      <w:r w:rsidRPr="006F3E66">
        <w:rPr>
          <w:lang w:val="en-US"/>
        </w:rPr>
        <w:t xml:space="preserve">igned science fictions made </w:t>
      </w:r>
      <w:proofErr w:type="gramStart"/>
      <w:r w:rsidRPr="006F3E66">
        <w:rPr>
          <w:lang w:val="en-US"/>
        </w:rPr>
        <w:t>of?,</w:t>
      </w:r>
      <w:proofErr w:type="gramEnd"/>
      <w:r w:rsidRPr="006F3E66">
        <w:rPr>
          <w:lang w:val="en-US"/>
        </w:rPr>
        <w:t xml:space="preserve"> </w:t>
      </w:r>
      <w:proofErr w:type="spellStart"/>
      <w:r w:rsidRPr="006F3E66">
        <w:rPr>
          <w:lang w:val="en-US"/>
        </w:rPr>
        <w:t>Technovation</w:t>
      </w:r>
      <w:proofErr w:type="spellEnd"/>
      <w:r w:rsidRPr="006F3E66">
        <w:rPr>
          <w:lang w:val="en-US"/>
        </w:rPr>
        <w:t>, Vol. 138, pp. 1-12.</w:t>
      </w:r>
    </w:p>
    <w:p w:rsidR="00C73743" w:rsidRPr="00BA09CD" w:rsidRDefault="005B24D2" w:rsidP="00BA09CD">
      <w:pPr>
        <w:pStyle w:val="berschrift1"/>
        <w:numPr>
          <w:ilvl w:val="0"/>
          <w:numId w:val="20"/>
        </w:numPr>
        <w:spacing w:line="360" w:lineRule="auto"/>
        <w:rPr>
          <w:b/>
          <w:sz w:val="28"/>
          <w:szCs w:val="28"/>
          <w:lang w:val="en-US"/>
        </w:rPr>
      </w:pPr>
      <w:bookmarkStart w:id="8" w:name="_k655f4g6e13j" w:colFirst="0" w:colLast="0"/>
      <w:bookmarkEnd w:id="8"/>
      <w:r w:rsidRPr="00C73743">
        <w:rPr>
          <w:b/>
          <w:sz w:val="28"/>
          <w:szCs w:val="28"/>
          <w:lang w:val="en-US"/>
        </w:rPr>
        <w:t>Simulation and enhanced serious gaming</w:t>
      </w:r>
    </w:p>
    <w:p w:rsidR="00C73743" w:rsidRPr="00C73743" w:rsidRDefault="00C73743" w:rsidP="00FF3E75">
      <w:pPr>
        <w:spacing w:line="360" w:lineRule="auto"/>
        <w:jc w:val="both"/>
        <w:rPr>
          <w:lang w:val="en-US"/>
        </w:rPr>
      </w:pPr>
      <w:r w:rsidRPr="00C73743">
        <w:rPr>
          <w:lang w:val="en-US"/>
        </w:rPr>
        <w:t xml:space="preserve">Serious games, including simulations, are tools designed not for entertainment but for learning, training, and raising awareness. They offer a safe, interactive environment that simplifies reality, enabling participants to explore future scenarios, experiment with decisions, and engage in negotiations without real-world consequences </w:t>
      </w:r>
      <w:proofErr w:type="spellStart"/>
      <w:r w:rsidR="00301D40" w:rsidRPr="00301D40">
        <w:rPr>
          <w:lang w:val="en-US"/>
        </w:rPr>
        <w:t>Szatowska</w:t>
      </w:r>
      <w:proofErr w:type="spellEnd"/>
      <w:r w:rsidR="00301D40">
        <w:rPr>
          <w:lang w:val="en-US"/>
        </w:rPr>
        <w:t xml:space="preserve"> and </w:t>
      </w:r>
      <w:proofErr w:type="spellStart"/>
      <w:r w:rsidR="00301D40" w:rsidRPr="00301D40">
        <w:rPr>
          <w:lang w:val="en-US"/>
        </w:rPr>
        <w:t>Wasdaszko</w:t>
      </w:r>
      <w:proofErr w:type="spellEnd"/>
      <w:r w:rsidR="00301D40" w:rsidRPr="00301D40">
        <w:rPr>
          <w:lang w:val="en-US"/>
        </w:rPr>
        <w:t xml:space="preserve"> (2022).</w:t>
      </w:r>
    </w:p>
    <w:p w:rsidR="00C73743" w:rsidRDefault="00C73743" w:rsidP="00FF3E75">
      <w:pPr>
        <w:spacing w:line="360" w:lineRule="auto"/>
        <w:rPr>
          <w:b/>
          <w:lang w:val="en-US"/>
        </w:rPr>
      </w:pPr>
    </w:p>
    <w:p w:rsidR="00136D05" w:rsidRPr="00C73743" w:rsidRDefault="00FF3E75" w:rsidP="00FF3E75">
      <w:pPr>
        <w:spacing w:line="360" w:lineRule="auto"/>
        <w:rPr>
          <w:b/>
          <w:lang w:val="en-US"/>
        </w:rPr>
      </w:pPr>
      <w:r>
        <w:rPr>
          <w:noProof/>
        </w:rPr>
        <w:drawing>
          <wp:anchor distT="114300" distB="114300" distL="114300" distR="114300" simplePos="0" relativeHeight="251658240" behindDoc="0" locked="0" layoutInCell="1" hidden="0" allowOverlap="1">
            <wp:simplePos x="0" y="0"/>
            <wp:positionH relativeFrom="margin">
              <wp:align>left</wp:align>
            </wp:positionH>
            <wp:positionV relativeFrom="paragraph">
              <wp:posOffset>287020</wp:posOffset>
            </wp:positionV>
            <wp:extent cx="5562600" cy="3038475"/>
            <wp:effectExtent l="0" t="0" r="0" b="9525"/>
            <wp:wrapSquare wrapText="bothSides" distT="114300" distB="11430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562600" cy="3038475"/>
                    </a:xfrm>
                    <a:prstGeom prst="rect">
                      <a:avLst/>
                    </a:prstGeom>
                    <a:ln/>
                  </pic:spPr>
                </pic:pic>
              </a:graphicData>
            </a:graphic>
            <wp14:sizeRelH relativeFrom="margin">
              <wp14:pctWidth>0</wp14:pctWidth>
            </wp14:sizeRelH>
            <wp14:sizeRelV relativeFrom="margin">
              <wp14:pctHeight>0</wp14:pctHeight>
            </wp14:sizeRelV>
          </wp:anchor>
        </w:drawing>
      </w:r>
      <w:r w:rsidR="00C73743" w:rsidRPr="00C73743">
        <w:rPr>
          <w:b/>
          <w:lang w:val="en-US"/>
        </w:rPr>
        <w:t>Figure 5: Examples of simulations and Serious Games</w:t>
      </w:r>
    </w:p>
    <w:p w:rsidR="00136D05" w:rsidRPr="00C73743" w:rsidRDefault="00136D05" w:rsidP="00FF3E75">
      <w:pPr>
        <w:spacing w:line="360" w:lineRule="auto"/>
        <w:rPr>
          <w:b/>
          <w:lang w:val="en-US"/>
        </w:rPr>
      </w:pPr>
    </w:p>
    <w:p w:rsidR="00136D05" w:rsidRPr="00FF3E75" w:rsidRDefault="005B24D2" w:rsidP="00FF3E75">
      <w:pPr>
        <w:spacing w:line="360" w:lineRule="auto"/>
        <w:jc w:val="both"/>
        <w:rPr>
          <w:lang w:val="en-US"/>
        </w:rPr>
      </w:pPr>
      <w:r w:rsidRPr="006F3E66">
        <w:rPr>
          <w:lang w:val="en-US"/>
        </w:rPr>
        <w:lastRenderedPageBreak/>
        <w:t>These games foster creativity, help visualize complex systems, and encourage innovative thinking beyond existing knowledge boundaries. By simulating real st</w:t>
      </w:r>
      <w:r w:rsidRPr="006F3E66">
        <w:rPr>
          <w:lang w:val="en-US"/>
        </w:rPr>
        <w:t>akeholders and problems, they inspire unexpected solutions through social interaction and promote collaboration among participants (</w:t>
      </w:r>
      <w:proofErr w:type="spellStart"/>
      <w:r w:rsidRPr="006F3E66">
        <w:rPr>
          <w:lang w:val="en-US"/>
        </w:rPr>
        <w:t>Szatowska</w:t>
      </w:r>
      <w:proofErr w:type="spellEnd"/>
      <w:r w:rsidRPr="006F3E66">
        <w:rPr>
          <w:lang w:val="en-US"/>
        </w:rPr>
        <w:t>, 2</w:t>
      </w:r>
      <w:r w:rsidR="00301D40">
        <w:rPr>
          <w:lang w:val="en-US"/>
        </w:rPr>
        <w:t>022</w:t>
      </w:r>
      <w:r w:rsidRPr="006F3E66">
        <w:rPr>
          <w:lang w:val="en-US"/>
        </w:rPr>
        <w:t>). The emotional immersion in scenarios enhances learning, deepens engagement, and facilitates meaningful dial</w:t>
      </w:r>
      <w:r w:rsidRPr="006F3E66">
        <w:rPr>
          <w:lang w:val="en-US"/>
        </w:rPr>
        <w:t>ogue among stakeholders—key for policy design and anticipating future challenges</w:t>
      </w:r>
      <w:r w:rsidR="00301D40">
        <w:rPr>
          <w:lang w:val="en-US"/>
        </w:rPr>
        <w:t>.</w:t>
      </w:r>
    </w:p>
    <w:p w:rsidR="00136D05" w:rsidRPr="006F3E66" w:rsidRDefault="00136D05" w:rsidP="00FF3E75">
      <w:pPr>
        <w:spacing w:line="360" w:lineRule="auto"/>
        <w:rPr>
          <w:lang w:val="en-US"/>
        </w:rPr>
      </w:pPr>
    </w:p>
    <w:p w:rsidR="00136D05" w:rsidRDefault="005B24D2" w:rsidP="00FF3E75">
      <w:pPr>
        <w:spacing w:line="360" w:lineRule="auto"/>
        <w:rPr>
          <w:b/>
        </w:rPr>
      </w:pPr>
      <w:r>
        <w:rPr>
          <w:b/>
        </w:rPr>
        <w:t xml:space="preserve">Notes </w:t>
      </w:r>
      <w:proofErr w:type="spellStart"/>
      <w:r>
        <w:rPr>
          <w:b/>
        </w:rPr>
        <w:t>from</w:t>
      </w:r>
      <w:proofErr w:type="spellEnd"/>
      <w:r>
        <w:rPr>
          <w:b/>
        </w:rPr>
        <w:t xml:space="preserve"> </w:t>
      </w:r>
      <w:proofErr w:type="spellStart"/>
      <w:r>
        <w:rPr>
          <w:b/>
        </w:rPr>
        <w:t>the</w:t>
      </w:r>
      <w:proofErr w:type="spellEnd"/>
      <w:r>
        <w:rPr>
          <w:b/>
        </w:rPr>
        <w:t xml:space="preserve"> </w:t>
      </w:r>
      <w:proofErr w:type="spellStart"/>
      <w:r>
        <w:rPr>
          <w:b/>
        </w:rPr>
        <w:t>discussion</w:t>
      </w:r>
      <w:proofErr w:type="spellEnd"/>
      <w:r>
        <w:rPr>
          <w:b/>
        </w:rPr>
        <w:t>:</w:t>
      </w:r>
    </w:p>
    <w:p w:rsidR="00136D05" w:rsidRPr="006F3E66" w:rsidRDefault="005B24D2" w:rsidP="00FF3E75">
      <w:pPr>
        <w:numPr>
          <w:ilvl w:val="0"/>
          <w:numId w:val="21"/>
        </w:numPr>
        <w:spacing w:line="360" w:lineRule="auto"/>
        <w:jc w:val="both"/>
        <w:rPr>
          <w:lang w:val="en-US"/>
        </w:rPr>
      </w:pPr>
      <w:r w:rsidRPr="006F3E66">
        <w:rPr>
          <w:lang w:val="en-US"/>
        </w:rPr>
        <w:t xml:space="preserve">Serious games seem to be appropriate tools to raise awareness about a subject but not to develop skills since player will only </w:t>
      </w:r>
      <w:r w:rsidRPr="006F3E66">
        <w:rPr>
          <w:lang w:val="en-US"/>
        </w:rPr>
        <w:t>develop skills to get better in the game but not in reality; On the other hand, simulation exercises are costly and demand a lot of time and resources to plan and implement it (but are in return pretty effective to develop useful skills)</w:t>
      </w:r>
    </w:p>
    <w:p w:rsidR="00136D05" w:rsidRPr="006F3E66" w:rsidRDefault="005B24D2" w:rsidP="00FF3E75">
      <w:pPr>
        <w:numPr>
          <w:ilvl w:val="0"/>
          <w:numId w:val="21"/>
        </w:numPr>
        <w:spacing w:line="360" w:lineRule="auto"/>
        <w:jc w:val="both"/>
        <w:rPr>
          <w:lang w:val="en-US"/>
        </w:rPr>
      </w:pPr>
      <w:r w:rsidRPr="006F3E66">
        <w:rPr>
          <w:lang w:val="en-US"/>
        </w:rPr>
        <w:t xml:space="preserve">Don’t invent your </w:t>
      </w:r>
      <w:r w:rsidRPr="006F3E66">
        <w:rPr>
          <w:lang w:val="en-US"/>
        </w:rPr>
        <w:t>own game: Look for one that’s already existing and adapt it to your needs; Problem of games: They are codified but differently than reality</w:t>
      </w:r>
    </w:p>
    <w:p w:rsidR="00136D05" w:rsidRPr="006F3E66" w:rsidRDefault="005B24D2" w:rsidP="00FF3E75">
      <w:pPr>
        <w:numPr>
          <w:ilvl w:val="0"/>
          <w:numId w:val="21"/>
        </w:numPr>
        <w:spacing w:line="360" w:lineRule="auto"/>
        <w:jc w:val="both"/>
        <w:rPr>
          <w:lang w:val="en-US"/>
        </w:rPr>
      </w:pPr>
      <w:r w:rsidRPr="006F3E66">
        <w:rPr>
          <w:lang w:val="en-US"/>
        </w:rPr>
        <w:t xml:space="preserve">A simulation of a resilience process using LEGO bricks has already been implemented by Stephanie </w:t>
      </w:r>
      <w:proofErr w:type="spellStart"/>
      <w:r w:rsidRPr="006F3E66">
        <w:rPr>
          <w:lang w:val="en-US"/>
        </w:rPr>
        <w:t>Duchek</w:t>
      </w:r>
      <w:proofErr w:type="spellEnd"/>
      <w:r w:rsidRPr="006F3E66">
        <w:rPr>
          <w:lang w:val="en-US"/>
        </w:rPr>
        <w:t>; it helped t</w:t>
      </w:r>
      <w:r w:rsidRPr="006F3E66">
        <w:rPr>
          <w:lang w:val="en-US"/>
        </w:rPr>
        <w:t>o strengthen relevant resilience capacities of the participants</w:t>
      </w:r>
    </w:p>
    <w:p w:rsidR="00136D05" w:rsidRPr="00301D40" w:rsidRDefault="005B24D2" w:rsidP="00FF3E75">
      <w:pPr>
        <w:numPr>
          <w:ilvl w:val="0"/>
          <w:numId w:val="21"/>
        </w:numPr>
        <w:spacing w:line="360" w:lineRule="auto"/>
        <w:jc w:val="both"/>
        <w:rPr>
          <w:lang w:val="en-US"/>
        </w:rPr>
      </w:pPr>
      <w:r w:rsidRPr="006F3E66">
        <w:rPr>
          <w:lang w:val="en-US"/>
        </w:rPr>
        <w:t xml:space="preserve">Possible approach: 1. Provide a specific scenario, 2. Group discussing on needed roles and actions, 3. </w:t>
      </w:r>
      <w:r w:rsidRPr="00301D40">
        <w:rPr>
          <w:lang w:val="en-US"/>
        </w:rPr>
        <w:t xml:space="preserve">Distribution </w:t>
      </w:r>
      <w:proofErr w:type="spellStart"/>
      <w:r w:rsidRPr="00301D40">
        <w:rPr>
          <w:lang w:val="en-US"/>
        </w:rPr>
        <w:t>of</w:t>
      </w:r>
      <w:proofErr w:type="spellEnd"/>
      <w:r w:rsidRPr="00301D40">
        <w:rPr>
          <w:lang w:val="en-US"/>
        </w:rPr>
        <w:t xml:space="preserve"> </w:t>
      </w:r>
      <w:proofErr w:type="spellStart"/>
      <w:r w:rsidRPr="00301D40">
        <w:rPr>
          <w:lang w:val="en-US"/>
        </w:rPr>
        <w:t>roles</w:t>
      </w:r>
      <w:proofErr w:type="spellEnd"/>
      <w:r w:rsidRPr="00301D40">
        <w:rPr>
          <w:lang w:val="en-US"/>
        </w:rPr>
        <w:t xml:space="preserve">, 4. Simulation </w:t>
      </w:r>
      <w:proofErr w:type="spellStart"/>
      <w:r w:rsidRPr="00301D40">
        <w:rPr>
          <w:lang w:val="en-US"/>
        </w:rPr>
        <w:t>of</w:t>
      </w:r>
      <w:proofErr w:type="spellEnd"/>
      <w:r w:rsidRPr="00301D40">
        <w:rPr>
          <w:lang w:val="en-US"/>
        </w:rPr>
        <w:t xml:space="preserve"> </w:t>
      </w:r>
      <w:proofErr w:type="spellStart"/>
      <w:r w:rsidRPr="00301D40">
        <w:rPr>
          <w:lang w:val="en-US"/>
        </w:rPr>
        <w:t>the</w:t>
      </w:r>
      <w:proofErr w:type="spellEnd"/>
      <w:r w:rsidRPr="00301D40">
        <w:rPr>
          <w:lang w:val="en-US"/>
        </w:rPr>
        <w:t xml:space="preserve"> </w:t>
      </w:r>
      <w:proofErr w:type="spellStart"/>
      <w:r w:rsidRPr="00301D40">
        <w:rPr>
          <w:lang w:val="en-US"/>
        </w:rPr>
        <w:t>scenario</w:t>
      </w:r>
      <w:proofErr w:type="spellEnd"/>
    </w:p>
    <w:p w:rsidR="00136D05" w:rsidRPr="006F3E66" w:rsidRDefault="005B24D2" w:rsidP="00FF3E75">
      <w:pPr>
        <w:numPr>
          <w:ilvl w:val="0"/>
          <w:numId w:val="21"/>
        </w:numPr>
        <w:spacing w:line="360" w:lineRule="auto"/>
        <w:jc w:val="both"/>
        <w:rPr>
          <w:lang w:val="en-US"/>
        </w:rPr>
      </w:pPr>
      <w:r w:rsidRPr="006F3E66">
        <w:rPr>
          <w:lang w:val="en-US"/>
        </w:rPr>
        <w:t>The idea of enhanced SMART board gam</w:t>
      </w:r>
      <w:r w:rsidRPr="006F3E66">
        <w:rPr>
          <w:lang w:val="en-US"/>
        </w:rPr>
        <w:t>es is to combine board games, role play and (algorithmic) simulations -&gt; In crisis management this is called “staff framework exercise (</w:t>
      </w:r>
      <w:proofErr w:type="spellStart"/>
      <w:r w:rsidRPr="006F3E66">
        <w:rPr>
          <w:lang w:val="en-US"/>
        </w:rPr>
        <w:t>Stabsrahmenübung</w:t>
      </w:r>
      <w:proofErr w:type="spellEnd"/>
      <w:r w:rsidRPr="006F3E66">
        <w:rPr>
          <w:lang w:val="en-US"/>
        </w:rPr>
        <w:t>)”</w:t>
      </w:r>
    </w:p>
    <w:p w:rsidR="00301D40" w:rsidRDefault="005B24D2" w:rsidP="00FF3E75">
      <w:pPr>
        <w:numPr>
          <w:ilvl w:val="0"/>
          <w:numId w:val="21"/>
        </w:numPr>
        <w:spacing w:line="360" w:lineRule="auto"/>
        <w:jc w:val="both"/>
        <w:rPr>
          <w:lang w:val="en-US"/>
        </w:rPr>
      </w:pPr>
      <w:r w:rsidRPr="006F3E66">
        <w:rPr>
          <w:lang w:val="en-US"/>
        </w:rPr>
        <w:t>Idea: Rather than playing a game or simulation, participants could develop their own. This process en</w:t>
      </w:r>
      <w:r w:rsidRPr="006F3E66">
        <w:rPr>
          <w:lang w:val="en-US"/>
        </w:rPr>
        <w:t>courages them to think critically about relevant factors, actors, and scenarios, enhancing their understanding while designing the game</w:t>
      </w:r>
    </w:p>
    <w:p w:rsidR="00301D40" w:rsidRPr="00301D40" w:rsidRDefault="005B24D2" w:rsidP="00FF3E75">
      <w:pPr>
        <w:numPr>
          <w:ilvl w:val="0"/>
          <w:numId w:val="21"/>
        </w:numPr>
        <w:spacing w:line="360" w:lineRule="auto"/>
        <w:jc w:val="both"/>
        <w:rPr>
          <w:lang w:val="en-US"/>
        </w:rPr>
      </w:pPr>
      <w:r w:rsidRPr="00301D40">
        <w:rPr>
          <w:lang w:val="en-US"/>
        </w:rPr>
        <w:t xml:space="preserve">Defining the </w:t>
      </w:r>
      <w:r w:rsidR="00301D40" w:rsidRPr="00301D40">
        <w:rPr>
          <w:lang w:val="en-US"/>
        </w:rPr>
        <w:t>s</w:t>
      </w:r>
      <w:r w:rsidRPr="00301D40">
        <w:rPr>
          <w:lang w:val="en-US"/>
        </w:rPr>
        <w:t xml:space="preserve">cenario: </w:t>
      </w:r>
      <w:r w:rsidRPr="00301D40">
        <w:rPr>
          <w:lang w:val="en-US"/>
        </w:rPr>
        <w:t xml:space="preserve">Identify clear elements on which the scenario will be built, </w:t>
      </w:r>
      <w:proofErr w:type="gramStart"/>
      <w:r w:rsidRPr="00301D40">
        <w:rPr>
          <w:lang w:val="en-US"/>
        </w:rPr>
        <w:t>Focus</w:t>
      </w:r>
      <w:proofErr w:type="gramEnd"/>
      <w:r w:rsidRPr="00301D40">
        <w:rPr>
          <w:lang w:val="en-US"/>
        </w:rPr>
        <w:t xml:space="preserve"> on factors, roles, and actions</w:t>
      </w:r>
      <w:r w:rsidRPr="00301D40">
        <w:rPr>
          <w:lang w:val="en-US"/>
        </w:rPr>
        <w:t xml:space="preserve"> to ensure coherence and relevance.</w:t>
      </w:r>
    </w:p>
    <w:p w:rsidR="00301D40" w:rsidRPr="00301D40" w:rsidRDefault="005B24D2" w:rsidP="00FF3E75">
      <w:pPr>
        <w:numPr>
          <w:ilvl w:val="0"/>
          <w:numId w:val="21"/>
        </w:numPr>
        <w:spacing w:line="360" w:lineRule="auto"/>
        <w:jc w:val="both"/>
        <w:rPr>
          <w:lang w:val="en-US"/>
        </w:rPr>
      </w:pPr>
      <w:r w:rsidRPr="00301D40">
        <w:rPr>
          <w:lang w:val="en-US"/>
        </w:rPr>
        <w:t xml:space="preserve">Game vs. Simulation: Choosing the Right Tool: </w:t>
      </w:r>
      <w:r w:rsidRPr="00301D40">
        <w:rPr>
          <w:lang w:val="en-US"/>
        </w:rPr>
        <w:t xml:space="preserve">Serious games might be hard to understand, and they are by definition rules based, which might be against the idea of adaptability. The remaining option of role games but in </w:t>
      </w:r>
      <w:r w:rsidRPr="00301D40">
        <w:rPr>
          <w:lang w:val="en-US"/>
        </w:rPr>
        <w:t xml:space="preserve">such cases, players have any restriction. To be efficient the best option would probably be between serious games and role games (with minimal set of rules). -&gt; Better not developing a game from scratch but adapting one </w:t>
      </w:r>
    </w:p>
    <w:p w:rsidR="00301D40" w:rsidRPr="00301D40" w:rsidRDefault="00301D40" w:rsidP="00FF3E75">
      <w:pPr>
        <w:numPr>
          <w:ilvl w:val="0"/>
          <w:numId w:val="21"/>
        </w:numPr>
        <w:spacing w:line="360" w:lineRule="auto"/>
        <w:jc w:val="both"/>
        <w:rPr>
          <w:lang w:val="en-US"/>
        </w:rPr>
      </w:pPr>
      <w:r w:rsidRPr="00301D40">
        <w:rPr>
          <w:lang w:val="en-US"/>
        </w:rPr>
        <w:t>F</w:t>
      </w:r>
      <w:r w:rsidR="005B24D2" w:rsidRPr="00301D40">
        <w:rPr>
          <w:lang w:val="en-US"/>
        </w:rPr>
        <w:t>or public sector: framework simula</w:t>
      </w:r>
      <w:r w:rsidR="005B24D2" w:rsidRPr="00301D40">
        <w:rPr>
          <w:lang w:val="en-US"/>
        </w:rPr>
        <w:t>tion (staff framework exercise</w:t>
      </w:r>
      <w:r w:rsidRPr="00301D40">
        <w:rPr>
          <w:lang w:val="en-US"/>
        </w:rPr>
        <w:t xml:space="preserve">, </w:t>
      </w:r>
      <w:proofErr w:type="spellStart"/>
      <w:r w:rsidR="005B24D2" w:rsidRPr="00BA09CD">
        <w:rPr>
          <w:i/>
          <w:lang w:val="en-US"/>
        </w:rPr>
        <w:t>Stabsrahmenübung</w:t>
      </w:r>
      <w:proofErr w:type="spellEnd"/>
      <w:r w:rsidR="005B24D2" w:rsidRPr="00301D40">
        <w:rPr>
          <w:lang w:val="en-US"/>
        </w:rPr>
        <w:t xml:space="preserve"> </w:t>
      </w:r>
      <w:r w:rsidRPr="00301D40">
        <w:rPr>
          <w:lang w:val="en-US"/>
        </w:rPr>
        <w:t>in German).</w:t>
      </w:r>
    </w:p>
    <w:p w:rsidR="00136D05" w:rsidRPr="006F3E66" w:rsidRDefault="005B24D2" w:rsidP="00FF3E75">
      <w:pPr>
        <w:spacing w:before="240" w:after="240" w:line="360" w:lineRule="auto"/>
        <w:rPr>
          <w:b/>
          <w:sz w:val="24"/>
          <w:szCs w:val="24"/>
          <w:lang w:val="fr-FR"/>
        </w:rPr>
      </w:pPr>
      <w:bookmarkStart w:id="9" w:name="_GoBack"/>
      <w:bookmarkEnd w:id="9"/>
      <w:proofErr w:type="spellStart"/>
      <w:proofErr w:type="gramStart"/>
      <w:r w:rsidRPr="006F3E66">
        <w:rPr>
          <w:b/>
          <w:sz w:val="24"/>
          <w:szCs w:val="24"/>
          <w:lang w:val="fr-FR"/>
        </w:rPr>
        <w:lastRenderedPageBreak/>
        <w:t>References</w:t>
      </w:r>
      <w:proofErr w:type="spellEnd"/>
      <w:r w:rsidRPr="006F3E66">
        <w:rPr>
          <w:b/>
          <w:sz w:val="24"/>
          <w:szCs w:val="24"/>
          <w:lang w:val="fr-FR"/>
        </w:rPr>
        <w:t>:</w:t>
      </w:r>
      <w:proofErr w:type="gramEnd"/>
      <w:r w:rsidRPr="006F3E66">
        <w:rPr>
          <w:b/>
          <w:sz w:val="24"/>
          <w:szCs w:val="24"/>
          <w:lang w:val="fr-FR"/>
        </w:rPr>
        <w:t xml:space="preserve"> </w:t>
      </w:r>
    </w:p>
    <w:p w:rsidR="00136D05" w:rsidRPr="006F3E66" w:rsidRDefault="005B24D2" w:rsidP="00FF3E75">
      <w:pPr>
        <w:spacing w:before="240" w:after="240" w:line="360" w:lineRule="auto"/>
        <w:rPr>
          <w:lang w:val="fr-FR"/>
        </w:rPr>
      </w:pPr>
      <w:proofErr w:type="spellStart"/>
      <w:r w:rsidRPr="006F3E66">
        <w:rPr>
          <w:lang w:val="fr-FR"/>
        </w:rPr>
        <w:t>Bobilier</w:t>
      </w:r>
      <w:proofErr w:type="spellEnd"/>
      <w:r w:rsidRPr="006F3E66">
        <w:rPr>
          <w:lang w:val="fr-FR"/>
        </w:rPr>
        <w:t xml:space="preserve"> </w:t>
      </w:r>
      <w:proofErr w:type="spellStart"/>
      <w:r w:rsidRPr="006F3E66">
        <w:rPr>
          <w:lang w:val="fr-FR"/>
        </w:rPr>
        <w:t>Chaumon</w:t>
      </w:r>
      <w:proofErr w:type="spellEnd"/>
      <w:r w:rsidRPr="006F3E66">
        <w:rPr>
          <w:lang w:val="fr-FR"/>
        </w:rPr>
        <w:t xml:space="preserve">, Marc Éric et al. (2018). </w:t>
      </w:r>
      <w:r w:rsidRPr="006F3E66">
        <w:rPr>
          <w:i/>
          <w:lang w:val="fr-FR"/>
        </w:rPr>
        <w:t>De l’activité DE simulation à l’activité EN simulation : simuler pour stimuler</w:t>
      </w:r>
      <w:r w:rsidRPr="006F3E66">
        <w:rPr>
          <w:lang w:val="fr-FR"/>
        </w:rPr>
        <w:t xml:space="preserve">, in : Open Edition </w:t>
      </w:r>
      <w:proofErr w:type="spellStart"/>
      <w:r w:rsidRPr="006F3E66">
        <w:rPr>
          <w:lang w:val="fr-FR"/>
        </w:rPr>
        <w:t>Journals</w:t>
      </w:r>
      <w:proofErr w:type="spellEnd"/>
      <w:r w:rsidRPr="006F3E66">
        <w:rPr>
          <w:lang w:val="fr-FR"/>
        </w:rPr>
        <w:t xml:space="preserve">. </w:t>
      </w:r>
      <w:proofErr w:type="gramStart"/>
      <w:r w:rsidRPr="006F3E66">
        <w:rPr>
          <w:lang w:val="fr-FR"/>
        </w:rPr>
        <w:t>DOI:</w:t>
      </w:r>
      <w:proofErr w:type="gramEnd"/>
      <w:r w:rsidRPr="006F3E66">
        <w:rPr>
          <w:lang w:val="fr-FR"/>
        </w:rPr>
        <w:t xml:space="preserve">  10.4000/activites.3136. </w:t>
      </w:r>
    </w:p>
    <w:p w:rsidR="00136D05" w:rsidRDefault="005B24D2" w:rsidP="00FF3E75">
      <w:pPr>
        <w:spacing w:before="240" w:after="240" w:line="360" w:lineRule="auto"/>
      </w:pPr>
      <w:proofErr w:type="spellStart"/>
      <w:r w:rsidRPr="006F3E66">
        <w:rPr>
          <w:lang w:val="fr-FR"/>
        </w:rPr>
        <w:t>Denoual</w:t>
      </w:r>
      <w:proofErr w:type="spellEnd"/>
      <w:r w:rsidRPr="006F3E66">
        <w:rPr>
          <w:lang w:val="fr-FR"/>
        </w:rPr>
        <w:t xml:space="preserve">, Mathieu (2022). </w:t>
      </w:r>
      <w:r w:rsidRPr="006F3E66">
        <w:rPr>
          <w:i/>
          <w:lang w:val="fr-FR"/>
        </w:rPr>
        <w:t>Conception d’un outil d’introduction à la prospective.</w:t>
      </w:r>
      <w:r w:rsidRPr="006F3E66">
        <w:rPr>
          <w:lang w:val="fr-FR"/>
        </w:rPr>
        <w:t xml:space="preserve"> Colloque International Game Evolution</w:t>
      </w:r>
      <w:r w:rsidRPr="006F3E66">
        <w:rPr>
          <w:lang w:val="fr-FR"/>
        </w:rPr>
        <w:t xml:space="preserve"> 2022, Institut de Recherche en Gestion (IRG</w:t>
      </w:r>
      <w:proofErr w:type="gramStart"/>
      <w:r w:rsidRPr="006F3E66">
        <w:rPr>
          <w:lang w:val="fr-FR"/>
        </w:rPr>
        <w:t>);</w:t>
      </w:r>
      <w:proofErr w:type="gramEnd"/>
      <w:r w:rsidRPr="006F3E66">
        <w:rPr>
          <w:lang w:val="fr-FR"/>
        </w:rPr>
        <w:t xml:space="preserve"> Montpellier. </w:t>
      </w:r>
      <w:r>
        <w:t xml:space="preserve">URL: </w:t>
      </w:r>
      <w:hyperlink r:id="rId23">
        <w:r>
          <w:rPr>
            <w:color w:val="1155CC"/>
            <w:u w:val="single"/>
          </w:rPr>
          <w:t>https://hal.science/hal-03661695/document</w:t>
        </w:r>
      </w:hyperlink>
      <w:r>
        <w:t xml:space="preserve">. </w:t>
      </w:r>
    </w:p>
    <w:p w:rsidR="00136D05" w:rsidRDefault="005B24D2" w:rsidP="00FF3E75">
      <w:pPr>
        <w:spacing w:before="240" w:after="240" w:line="360" w:lineRule="auto"/>
      </w:pPr>
      <w:r>
        <w:t xml:space="preserve">Duke, Richard D; </w:t>
      </w:r>
      <w:proofErr w:type="spellStart"/>
      <w:r>
        <w:t>Kriz</w:t>
      </w:r>
      <w:proofErr w:type="spellEnd"/>
      <w:r>
        <w:t xml:space="preserve">, Willy C (2014). </w:t>
      </w:r>
      <w:r w:rsidRPr="006F3E66">
        <w:rPr>
          <w:i/>
          <w:lang w:val="en-US"/>
        </w:rPr>
        <w:t>Back to the Future of Gaming</w:t>
      </w:r>
      <w:r w:rsidRPr="006F3E66">
        <w:rPr>
          <w:lang w:val="en-US"/>
        </w:rPr>
        <w:t xml:space="preserve">. </w:t>
      </w:r>
      <w:r>
        <w:t xml:space="preserve">Bielefeld: Bertelsmann. URL: </w:t>
      </w:r>
      <w:hyperlink r:id="rId24">
        <w:r>
          <w:rPr>
            <w:color w:val="1155CC"/>
            <w:u w:val="single"/>
          </w:rPr>
          <w:t>https://isaga.com/wp-content/uploads/2023/07/back-to-the-future-of-gaming-DRUCK.pdf</w:t>
        </w:r>
      </w:hyperlink>
      <w:r>
        <w:t>.</w:t>
      </w:r>
    </w:p>
    <w:p w:rsidR="00136D05" w:rsidRPr="006F3E66" w:rsidRDefault="005B24D2" w:rsidP="00FF3E75">
      <w:pPr>
        <w:spacing w:before="240" w:after="240" w:line="360" w:lineRule="auto"/>
        <w:rPr>
          <w:lang w:val="en-US"/>
        </w:rPr>
      </w:pPr>
      <w:r w:rsidRPr="006F3E66">
        <w:rPr>
          <w:lang w:val="en-US"/>
        </w:rPr>
        <w:t xml:space="preserve">Schrader, Claudia (2023). </w:t>
      </w:r>
      <w:r w:rsidRPr="006F3E66">
        <w:rPr>
          <w:i/>
          <w:lang w:val="en-US"/>
        </w:rPr>
        <w:t>Serious Ga</w:t>
      </w:r>
      <w:r w:rsidRPr="006F3E66">
        <w:rPr>
          <w:i/>
          <w:lang w:val="en-US"/>
        </w:rPr>
        <w:t>mes and Game-Based Learning.</w:t>
      </w:r>
      <w:r w:rsidRPr="006F3E66">
        <w:rPr>
          <w:lang w:val="en-US"/>
        </w:rPr>
        <w:t xml:space="preserve"> In: Handbook of Open, Distance and Digital Education.p.1255-1269. DOI: </w:t>
      </w:r>
      <w:hyperlink r:id="rId25">
        <w:r w:rsidRPr="006F3E66">
          <w:rPr>
            <w:rFonts w:ascii="Roboto" w:eastAsia="Roboto" w:hAnsi="Roboto" w:cs="Roboto"/>
            <w:color w:val="1155CC"/>
            <w:sz w:val="21"/>
            <w:szCs w:val="21"/>
            <w:highlight w:val="white"/>
            <w:u w:val="single"/>
            <w:lang w:val="en-US"/>
          </w:rPr>
          <w:t>10.1007/978-981-19-2080-6_74</w:t>
        </w:r>
      </w:hyperlink>
      <w:r w:rsidRPr="006F3E66">
        <w:rPr>
          <w:lang w:val="en-US"/>
        </w:rPr>
        <w:t>.</w:t>
      </w:r>
    </w:p>
    <w:p w:rsidR="00136D05" w:rsidRPr="006F3E66" w:rsidRDefault="005B24D2" w:rsidP="00FF3E75">
      <w:pPr>
        <w:spacing w:before="240" w:after="240" w:line="360" w:lineRule="auto"/>
        <w:rPr>
          <w:lang w:val="en-US"/>
        </w:rPr>
      </w:pPr>
      <w:proofErr w:type="spellStart"/>
      <w:r w:rsidRPr="006F3E66">
        <w:rPr>
          <w:lang w:val="en-US"/>
        </w:rPr>
        <w:t>Szatowska</w:t>
      </w:r>
      <w:proofErr w:type="spellEnd"/>
      <w:r w:rsidRPr="006F3E66">
        <w:rPr>
          <w:lang w:val="en-US"/>
        </w:rPr>
        <w:t xml:space="preserve">, </w:t>
      </w:r>
      <w:proofErr w:type="spellStart"/>
      <w:r w:rsidRPr="006F3E66">
        <w:rPr>
          <w:lang w:val="en-US"/>
        </w:rPr>
        <w:t>Wasdaszko</w:t>
      </w:r>
      <w:proofErr w:type="spellEnd"/>
      <w:r w:rsidRPr="006F3E66">
        <w:rPr>
          <w:lang w:val="en-US"/>
        </w:rPr>
        <w:t xml:space="preserve"> (2022). Between Urban Resilience and Se</w:t>
      </w:r>
      <w:r w:rsidRPr="006F3E66">
        <w:rPr>
          <w:lang w:val="en-US"/>
        </w:rPr>
        <w:t xml:space="preserve">rious Gaming: Applying Games for Policy Implementation. In: Gaming, Simulation and Innovations: Challenges and Opportunities. p. 223-238. DOI: </w:t>
      </w:r>
      <w:hyperlink r:id="rId26">
        <w:r w:rsidRPr="006F3E66">
          <w:rPr>
            <w:rFonts w:ascii="Roboto" w:eastAsia="Roboto" w:hAnsi="Roboto" w:cs="Roboto"/>
            <w:color w:val="1155CC"/>
            <w:sz w:val="21"/>
            <w:szCs w:val="21"/>
            <w:highlight w:val="white"/>
            <w:u w:val="single"/>
            <w:lang w:val="en-US"/>
          </w:rPr>
          <w:t>10.1007/978-3-031-09959-5_19</w:t>
        </w:r>
      </w:hyperlink>
      <w:r w:rsidRPr="006F3E66">
        <w:rPr>
          <w:lang w:val="en-US"/>
        </w:rPr>
        <w:t>.</w:t>
      </w:r>
    </w:p>
    <w:p w:rsidR="00136D05" w:rsidRPr="00301D40" w:rsidRDefault="005B24D2" w:rsidP="00FF3E75">
      <w:pPr>
        <w:spacing w:before="240" w:after="240" w:line="360" w:lineRule="auto"/>
        <w:rPr>
          <w:lang w:val="fr-FR"/>
        </w:rPr>
      </w:pPr>
      <w:proofErr w:type="spellStart"/>
      <w:r w:rsidRPr="006F3E66">
        <w:rPr>
          <w:lang w:val="fr-FR"/>
        </w:rPr>
        <w:t>Szpirglas</w:t>
      </w:r>
      <w:proofErr w:type="spellEnd"/>
      <w:r w:rsidRPr="006F3E66">
        <w:rPr>
          <w:lang w:val="fr-FR"/>
        </w:rPr>
        <w:t>, Mathia</w:t>
      </w:r>
      <w:r w:rsidRPr="006F3E66">
        <w:rPr>
          <w:lang w:val="fr-FR"/>
        </w:rPr>
        <w:t xml:space="preserve">s (2022). Écrire de la fiction pour vivre la théorie des organisations. </w:t>
      </w:r>
      <w:r w:rsidRPr="00301D40">
        <w:rPr>
          <w:lang w:val="fr-FR"/>
        </w:rPr>
        <w:t xml:space="preserve">In : Revue française de gestion. p. 107-122. </w:t>
      </w:r>
      <w:proofErr w:type="gramStart"/>
      <w:r w:rsidRPr="00301D40">
        <w:rPr>
          <w:lang w:val="fr-FR"/>
        </w:rPr>
        <w:t>DOI:</w:t>
      </w:r>
      <w:proofErr w:type="gramEnd"/>
      <w:r w:rsidRPr="00301D40">
        <w:rPr>
          <w:lang w:val="fr-FR"/>
        </w:rPr>
        <w:t xml:space="preserve"> </w:t>
      </w:r>
      <w:hyperlink r:id="rId27">
        <w:r w:rsidRPr="00301D40">
          <w:rPr>
            <w:rFonts w:ascii="Roboto" w:eastAsia="Roboto" w:hAnsi="Roboto" w:cs="Roboto"/>
            <w:color w:val="1155CC"/>
            <w:sz w:val="21"/>
            <w:szCs w:val="21"/>
            <w:highlight w:val="white"/>
            <w:u w:val="single"/>
            <w:lang w:val="fr-FR"/>
          </w:rPr>
          <w:t>10.3166/rfg304.107-122</w:t>
        </w:r>
      </w:hyperlink>
      <w:r w:rsidRPr="00301D40">
        <w:rPr>
          <w:lang w:val="fr-FR"/>
        </w:rPr>
        <w:t>.</w:t>
      </w:r>
    </w:p>
    <w:p w:rsidR="00136D05" w:rsidRPr="00301D40" w:rsidRDefault="00301D40" w:rsidP="00FF3E75">
      <w:pPr>
        <w:pStyle w:val="berschrift1"/>
        <w:spacing w:line="360" w:lineRule="auto"/>
        <w:rPr>
          <w:noProof/>
          <w:sz w:val="22"/>
          <w:szCs w:val="22"/>
          <w:lang w:val="en-US"/>
        </w:rPr>
      </w:pPr>
      <w:bookmarkStart w:id="10" w:name="_36uce7poasle" w:colFirst="0" w:colLast="0"/>
      <w:bookmarkEnd w:id="10"/>
      <w:r w:rsidRPr="00301D40">
        <w:rPr>
          <w:b/>
          <w:sz w:val="28"/>
          <w:szCs w:val="28"/>
          <w:lang w:val="en-US"/>
        </w:rPr>
        <w:t xml:space="preserve">7. </w:t>
      </w:r>
      <w:r w:rsidR="005B24D2" w:rsidRPr="00301D40">
        <w:rPr>
          <w:b/>
          <w:sz w:val="28"/>
          <w:szCs w:val="28"/>
          <w:lang w:val="en-US"/>
        </w:rPr>
        <w:t>Agent-Based Modelling (ABM)</w:t>
      </w:r>
      <w:r w:rsidR="005B24D2" w:rsidRPr="00301D40">
        <w:rPr>
          <w:noProof/>
          <w:sz w:val="22"/>
          <w:szCs w:val="22"/>
          <w:lang w:val="en-US"/>
        </w:rPr>
        <w:t xml:space="preserve"> </w:t>
      </w:r>
    </w:p>
    <w:p w:rsidR="00301D40" w:rsidRDefault="00301D40" w:rsidP="00FF3E75">
      <w:pPr>
        <w:spacing w:line="360" w:lineRule="auto"/>
        <w:jc w:val="both"/>
        <w:rPr>
          <w:lang w:val="en-US"/>
        </w:rPr>
      </w:pPr>
      <w:r w:rsidRPr="00301D40">
        <w:rPr>
          <w:lang w:val="en-US"/>
        </w:rPr>
        <w:t>In the last few years, there has been a growing interest in Agent Based Modelling (ABM) as a truly remarkable simulation technique ranging applications across all disciplines in the natural, social, and physical sciences as well as engineered systems and well beyond the usual ones for simulation in engineering, business, operations management, and similar fields (</w:t>
      </w:r>
      <w:proofErr w:type="spellStart"/>
      <w:r w:rsidRPr="00301D40">
        <w:rPr>
          <w:lang w:val="en-US"/>
        </w:rPr>
        <w:t>Macal</w:t>
      </w:r>
      <w:proofErr w:type="spellEnd"/>
      <w:r>
        <w:rPr>
          <w:lang w:val="en-US"/>
        </w:rPr>
        <w:t>, 2016).</w:t>
      </w:r>
    </w:p>
    <w:p w:rsidR="00B00804" w:rsidRDefault="00301D40" w:rsidP="00FF3E75">
      <w:pPr>
        <w:spacing w:line="360" w:lineRule="auto"/>
        <w:jc w:val="both"/>
        <w:rPr>
          <w:lang w:val="en-US"/>
        </w:rPr>
      </w:pPr>
      <w:r w:rsidRPr="00301D40">
        <w:rPr>
          <w:lang w:val="en-US"/>
        </w:rPr>
        <w:t>Even simple agent-based models are powerful enough to exhibit complex patterns and provide valuable insights on the dynamics, mechanisms and preconditions of real-life events. ABM is a mindset that consists of describing a system from the perspective of its constituent units (</w:t>
      </w:r>
      <w:proofErr w:type="spellStart"/>
      <w:r w:rsidRPr="00301D40">
        <w:rPr>
          <w:lang w:val="en-US"/>
        </w:rPr>
        <w:t>Bonabeau</w:t>
      </w:r>
      <w:proofErr w:type="spellEnd"/>
      <w:r w:rsidRPr="00301D40">
        <w:rPr>
          <w:lang w:val="en-US"/>
        </w:rPr>
        <w:t>, 2002), through the depiction of agents that behave as autonomous decision-making entities. Also, the simulation of various interactions between them.</w:t>
      </w:r>
    </w:p>
    <w:p w:rsidR="00B00804" w:rsidRPr="00B00804" w:rsidRDefault="00B00804" w:rsidP="00FF3E75">
      <w:pPr>
        <w:spacing w:line="360" w:lineRule="auto"/>
        <w:jc w:val="both"/>
        <w:rPr>
          <w:lang w:val="en-US"/>
        </w:rPr>
      </w:pPr>
      <w:r w:rsidRPr="00B00804">
        <w:rPr>
          <w:lang w:val="en-US"/>
        </w:rPr>
        <w:lastRenderedPageBreak/>
        <w:t>The implementation of an ABM provides a natural description of a system rendering it closer to reality, and even makes it possible to realize the full potential of data that the system has (</w:t>
      </w:r>
      <w:proofErr w:type="spellStart"/>
      <w:r w:rsidRPr="00B00804">
        <w:rPr>
          <w:lang w:val="en-US"/>
        </w:rPr>
        <w:t>Bonabeau</w:t>
      </w:r>
      <w:proofErr w:type="spellEnd"/>
      <w:r w:rsidRPr="00B00804">
        <w:rPr>
          <w:lang w:val="en-US"/>
        </w:rPr>
        <w:t xml:space="preserve"> 2002). </w:t>
      </w:r>
    </w:p>
    <w:p w:rsidR="00301D40" w:rsidRPr="00301D40" w:rsidRDefault="00B00804" w:rsidP="00FF3E75">
      <w:pPr>
        <w:spacing w:line="360" w:lineRule="auto"/>
        <w:jc w:val="both"/>
        <w:rPr>
          <w:lang w:val="en-US"/>
        </w:rPr>
      </w:pPr>
      <w:r w:rsidRPr="00B00804">
        <w:rPr>
          <w:lang w:val="en-US"/>
        </w:rPr>
        <w:t>The degree of flexibility that ABM offers can be observed in the ability to add more agents and tune their behavior, degree of rationality, ability to learn and evolve, and rules of interactions between them.</w:t>
      </w:r>
    </w:p>
    <w:p w:rsidR="00301D40" w:rsidRDefault="00301D40" w:rsidP="00FF3E75">
      <w:pPr>
        <w:spacing w:line="360" w:lineRule="auto"/>
        <w:rPr>
          <w:b/>
          <w:lang w:val="en-US"/>
        </w:rPr>
      </w:pPr>
    </w:p>
    <w:p w:rsidR="00301D40" w:rsidRPr="00301D40" w:rsidRDefault="00301D40" w:rsidP="00FF3E75">
      <w:pPr>
        <w:spacing w:line="360" w:lineRule="auto"/>
        <w:rPr>
          <w:b/>
          <w:lang w:val="en-US"/>
        </w:rPr>
      </w:pPr>
      <w:bookmarkStart w:id="11" w:name="_Hlk190367446"/>
      <w:r w:rsidRPr="00301D40">
        <w:rPr>
          <w:b/>
          <w:lang w:val="en-US"/>
        </w:rPr>
        <w:t>Figure 6: ABM related to escape behaviors</w:t>
      </w:r>
    </w:p>
    <w:bookmarkEnd w:id="11"/>
    <w:p w:rsidR="00301D40" w:rsidRPr="00301D40" w:rsidRDefault="00301D40" w:rsidP="00FF3E75">
      <w:pPr>
        <w:spacing w:line="360" w:lineRule="auto"/>
        <w:rPr>
          <w:lang w:val="en-US"/>
        </w:rPr>
      </w:pPr>
    </w:p>
    <w:p w:rsidR="00136D05" w:rsidRDefault="005B24D2" w:rsidP="00FF3E75">
      <w:pPr>
        <w:spacing w:line="360" w:lineRule="auto"/>
        <w:jc w:val="center"/>
      </w:pPr>
      <w:r>
        <w:rPr>
          <w:noProof/>
        </w:rPr>
        <w:drawing>
          <wp:inline distT="114300" distB="114300" distL="114300" distR="114300">
            <wp:extent cx="5731200" cy="30099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a:stretch>
                      <a:fillRect/>
                    </a:stretch>
                  </pic:blipFill>
                  <pic:spPr>
                    <a:xfrm>
                      <a:off x="0" y="0"/>
                      <a:ext cx="5731200" cy="3009900"/>
                    </a:xfrm>
                    <a:prstGeom prst="rect">
                      <a:avLst/>
                    </a:prstGeom>
                    <a:ln/>
                  </pic:spPr>
                </pic:pic>
              </a:graphicData>
            </a:graphic>
          </wp:inline>
        </w:drawing>
      </w:r>
    </w:p>
    <w:p w:rsidR="00136D05" w:rsidRPr="006F3E66" w:rsidRDefault="005B24D2" w:rsidP="00FF3E75">
      <w:pPr>
        <w:spacing w:before="240" w:after="240" w:line="360" w:lineRule="auto"/>
        <w:jc w:val="both"/>
        <w:rPr>
          <w:lang w:val="en-US"/>
        </w:rPr>
      </w:pPr>
      <w:r w:rsidRPr="006F3E66">
        <w:rPr>
          <w:lang w:val="en-US"/>
        </w:rPr>
        <w:t>The Idea of building an ABM to simulate organ</w:t>
      </w:r>
      <w:r w:rsidRPr="006F3E66">
        <w:rPr>
          <w:lang w:val="en-US"/>
        </w:rPr>
        <w:t>izational resilience has to be founded on a robust methodology and a clearly defined process. Starting by meticulously identifying the agents, accurately setting their parameters and defining our starting configuration. Which lays challenges. Then, varying</w:t>
      </w:r>
      <w:r w:rsidRPr="006F3E66">
        <w:rPr>
          <w:lang w:val="en-US"/>
        </w:rPr>
        <w:t xml:space="preserve"> the parameters and starting situation to see to what extent things evolve.</w:t>
      </w:r>
    </w:p>
    <w:p w:rsidR="00136D05" w:rsidRPr="006F3E66" w:rsidRDefault="005B24D2" w:rsidP="00FF3E75">
      <w:pPr>
        <w:spacing w:before="240" w:after="240" w:line="360" w:lineRule="auto"/>
        <w:jc w:val="both"/>
        <w:rPr>
          <w:lang w:val="en-US"/>
        </w:rPr>
      </w:pPr>
      <w:r w:rsidRPr="006F3E66">
        <w:rPr>
          <w:lang w:val="en-US"/>
        </w:rPr>
        <w:t>In order to convince decision makers that our model could potentially be a decision support tool, it is crucially important to thoroughly explain our modelling process in detail. O</w:t>
      </w:r>
      <w:r w:rsidRPr="006F3E66">
        <w:rPr>
          <w:lang w:val="en-US"/>
        </w:rPr>
        <w:t xml:space="preserve">nly testing and experimentation would allow us to refine the model and simplify it to a reasonably functioning level. </w:t>
      </w:r>
    </w:p>
    <w:p w:rsidR="00BA09CD" w:rsidRDefault="00BA09CD" w:rsidP="00FF3E75">
      <w:pPr>
        <w:spacing w:before="240" w:after="240" w:line="360" w:lineRule="auto"/>
        <w:rPr>
          <w:b/>
        </w:rPr>
      </w:pPr>
    </w:p>
    <w:p w:rsidR="00136D05" w:rsidRDefault="005B24D2" w:rsidP="00FF3E75">
      <w:pPr>
        <w:spacing w:before="240" w:after="240" w:line="360" w:lineRule="auto"/>
        <w:rPr>
          <w:b/>
        </w:rPr>
      </w:pPr>
      <w:r>
        <w:rPr>
          <w:b/>
        </w:rPr>
        <w:lastRenderedPageBreak/>
        <w:t xml:space="preserve">Notes </w:t>
      </w:r>
      <w:proofErr w:type="spellStart"/>
      <w:r>
        <w:rPr>
          <w:b/>
        </w:rPr>
        <w:t>from</w:t>
      </w:r>
      <w:proofErr w:type="spellEnd"/>
      <w:r>
        <w:rPr>
          <w:b/>
        </w:rPr>
        <w:t xml:space="preserve"> </w:t>
      </w:r>
      <w:proofErr w:type="spellStart"/>
      <w:r>
        <w:rPr>
          <w:b/>
        </w:rPr>
        <w:t>the</w:t>
      </w:r>
      <w:proofErr w:type="spellEnd"/>
      <w:r>
        <w:rPr>
          <w:b/>
        </w:rPr>
        <w:t xml:space="preserve"> </w:t>
      </w:r>
      <w:proofErr w:type="spellStart"/>
      <w:r>
        <w:rPr>
          <w:b/>
        </w:rPr>
        <w:t>discussion</w:t>
      </w:r>
      <w:proofErr w:type="spellEnd"/>
      <w:r>
        <w:rPr>
          <w:b/>
        </w:rPr>
        <w:t xml:space="preserve">: </w:t>
      </w:r>
    </w:p>
    <w:p w:rsidR="00136D05" w:rsidRPr="006F3E66" w:rsidRDefault="005B24D2" w:rsidP="00FF3E75">
      <w:pPr>
        <w:numPr>
          <w:ilvl w:val="0"/>
          <w:numId w:val="12"/>
        </w:numPr>
        <w:spacing w:line="360" w:lineRule="auto"/>
        <w:jc w:val="both"/>
        <w:rPr>
          <w:lang w:val="en-US"/>
        </w:rPr>
      </w:pPr>
      <w:r w:rsidRPr="006F3E66">
        <w:rPr>
          <w:lang w:val="en-US"/>
        </w:rPr>
        <w:t xml:space="preserve">Presentation of the fundamental principles of ABM and its role to strengthen resilience (as a flexible model </w:t>
      </w:r>
      <w:r w:rsidRPr="006F3E66">
        <w:rPr>
          <w:lang w:val="en-US"/>
        </w:rPr>
        <w:t>that can be adapted to and used in every context)</w:t>
      </w:r>
      <w:r w:rsidR="00381440">
        <w:rPr>
          <w:lang w:val="en-US"/>
        </w:rPr>
        <w:t>.</w:t>
      </w:r>
    </w:p>
    <w:p w:rsidR="00136D05" w:rsidRPr="006F3E66" w:rsidRDefault="005B24D2" w:rsidP="00FF3E75">
      <w:pPr>
        <w:numPr>
          <w:ilvl w:val="0"/>
          <w:numId w:val="12"/>
        </w:numPr>
        <w:spacing w:line="360" w:lineRule="auto"/>
        <w:jc w:val="both"/>
        <w:rPr>
          <w:lang w:val="en-US"/>
        </w:rPr>
      </w:pPr>
      <w:r w:rsidRPr="006F3E66">
        <w:rPr>
          <w:lang w:val="en-US"/>
        </w:rPr>
        <w:t>ABM could run in the backend of an enhanced smart board game</w:t>
      </w:r>
      <w:r w:rsidR="00381440">
        <w:rPr>
          <w:lang w:val="en-US"/>
        </w:rPr>
        <w:t>.</w:t>
      </w:r>
    </w:p>
    <w:p w:rsidR="00136D05" w:rsidRDefault="005B24D2" w:rsidP="00FF3E75">
      <w:pPr>
        <w:numPr>
          <w:ilvl w:val="0"/>
          <w:numId w:val="12"/>
        </w:numPr>
        <w:spacing w:after="160" w:line="360" w:lineRule="auto"/>
        <w:jc w:val="both"/>
        <w:rPr>
          <w:lang w:val="en-US"/>
        </w:rPr>
      </w:pPr>
      <w:r w:rsidRPr="006F3E66">
        <w:rPr>
          <w:lang w:val="en-US"/>
        </w:rPr>
        <w:t>Challenge: High IT programming skills are needed to develop a sophisticated algorithm-based model</w:t>
      </w:r>
      <w:r w:rsidR="00381440">
        <w:rPr>
          <w:lang w:val="en-US"/>
        </w:rPr>
        <w:t>.</w:t>
      </w:r>
    </w:p>
    <w:p w:rsidR="009918BD" w:rsidRPr="009918BD" w:rsidRDefault="009918BD" w:rsidP="00FF3E75">
      <w:pPr>
        <w:numPr>
          <w:ilvl w:val="0"/>
          <w:numId w:val="12"/>
        </w:numPr>
        <w:spacing w:after="160" w:line="360" w:lineRule="auto"/>
        <w:jc w:val="both"/>
        <w:rPr>
          <w:lang w:val="en-US"/>
        </w:rPr>
      </w:pPr>
      <w:r w:rsidRPr="009918BD">
        <w:rPr>
          <w:lang w:val="en-US"/>
        </w:rPr>
        <w:t>The term “model” is a little misleading, as the word “model” often prepares us for predictive results. But these models don't predict. They enable us to see, assuming a specific starting situation and pre-set agent behaviors, how a situation will evolve, and what families of outcomes are possible at a future date. If these models are to be used with decision-makers, it is crucial that they understand what they can and cannot be used for.</w:t>
      </w:r>
    </w:p>
    <w:p w:rsidR="009918BD" w:rsidRPr="009918BD" w:rsidRDefault="009918BD" w:rsidP="00FF3E75">
      <w:pPr>
        <w:numPr>
          <w:ilvl w:val="0"/>
          <w:numId w:val="12"/>
        </w:numPr>
        <w:spacing w:after="160" w:line="360" w:lineRule="auto"/>
        <w:jc w:val="both"/>
        <w:rPr>
          <w:lang w:val="en-US"/>
        </w:rPr>
      </w:pPr>
      <w:r w:rsidRPr="009918BD">
        <w:rPr>
          <w:lang w:val="en-US"/>
        </w:rPr>
        <w:t>For these models to be useful, the agents need to be properly identified and parameterized, and the starting situation defined: none of this is simple. It's about understanding the elements of a complex system, understanding their behaviors and interactions, and convincing decision-makers that you've got it right for the purposes of the model.</w:t>
      </w:r>
      <w:r>
        <w:rPr>
          <w:lang w:val="en-US"/>
        </w:rPr>
        <w:t xml:space="preserve"> </w:t>
      </w:r>
      <w:r w:rsidRPr="009918BD">
        <w:rPr>
          <w:lang w:val="en-US"/>
        </w:rPr>
        <w:t xml:space="preserve">Then, it's a question of varying the initial parameters and situations, and seeing to what extent the situations evolve in a </w:t>
      </w:r>
      <w:proofErr w:type="gramStart"/>
      <w:r w:rsidRPr="009918BD">
        <w:rPr>
          <w:lang w:val="en-US"/>
        </w:rPr>
        <w:t>similar or different wa</w:t>
      </w:r>
      <w:r>
        <w:rPr>
          <w:lang w:val="en-US"/>
        </w:rPr>
        <w:t>ys</w:t>
      </w:r>
      <w:proofErr w:type="gramEnd"/>
      <w:r>
        <w:rPr>
          <w:lang w:val="en-US"/>
        </w:rPr>
        <w:t>.</w:t>
      </w:r>
    </w:p>
    <w:p w:rsidR="009918BD" w:rsidRPr="009918BD" w:rsidRDefault="009918BD" w:rsidP="00FF3E75">
      <w:pPr>
        <w:numPr>
          <w:ilvl w:val="0"/>
          <w:numId w:val="12"/>
        </w:numPr>
        <w:spacing w:after="160" w:line="360" w:lineRule="auto"/>
        <w:jc w:val="both"/>
        <w:rPr>
          <w:lang w:val="en-US"/>
        </w:rPr>
      </w:pPr>
      <w:r w:rsidRPr="009918BD">
        <w:rPr>
          <w:lang w:val="en-US"/>
        </w:rPr>
        <w:t>If, by varying the parameters and the starting situation, the future situations are all similar, we will have identified a family of [starting situations, parameters] which all lead to similar “outcomes”: these are not predictions, as each outcome will be different, but a family of outcomes with similar characteristics.</w:t>
      </w:r>
    </w:p>
    <w:p w:rsidR="009918BD" w:rsidRPr="009918BD" w:rsidRDefault="009918BD" w:rsidP="00FF3E75">
      <w:pPr>
        <w:numPr>
          <w:ilvl w:val="0"/>
          <w:numId w:val="12"/>
        </w:numPr>
        <w:spacing w:after="160" w:line="360" w:lineRule="auto"/>
        <w:jc w:val="both"/>
        <w:rPr>
          <w:lang w:val="en-US"/>
        </w:rPr>
      </w:pPr>
      <w:r w:rsidRPr="009918BD">
        <w:rPr>
          <w:lang w:val="en-US"/>
        </w:rPr>
        <w:t>On the other hand, there are often thresholds - critical parameters and/or critical starting situations and/or combinations of the two - beyond which the outcomes begin to diverge; we either fall back on another family of different outcomes, or chaos ensues.</w:t>
      </w:r>
    </w:p>
    <w:p w:rsidR="009918BD" w:rsidRPr="009918BD" w:rsidRDefault="009918BD" w:rsidP="00FF3E75">
      <w:pPr>
        <w:numPr>
          <w:ilvl w:val="0"/>
          <w:numId w:val="12"/>
        </w:numPr>
        <w:spacing w:after="160" w:line="360" w:lineRule="auto"/>
        <w:jc w:val="both"/>
        <w:rPr>
          <w:lang w:val="en-US"/>
        </w:rPr>
      </w:pPr>
      <w:r w:rsidRPr="009918BD">
        <w:rPr>
          <w:lang w:val="en-US"/>
        </w:rPr>
        <w:t>In short, to be useful, an ABM model must be realistic (i.e. it must be able to predict present characteristics fairly well from past [starting situations, parameters]). Not perfectly, because in a complex system a perfect prediction of the present from the past would be highly suspect; sometimes the prediction will be downright wrong, but for reasons that are well understood - for example, a meteor falling from the sky, the election of Trump... - which, if introduced, restore a fairly good prediction: the model remains good, because by definition external shocks are unpredictable).</w:t>
      </w:r>
    </w:p>
    <w:p w:rsidR="009918BD" w:rsidRPr="009918BD" w:rsidRDefault="009918BD" w:rsidP="00FF3E75">
      <w:pPr>
        <w:numPr>
          <w:ilvl w:val="0"/>
          <w:numId w:val="12"/>
        </w:numPr>
        <w:spacing w:after="160" w:line="360" w:lineRule="auto"/>
        <w:jc w:val="both"/>
        <w:rPr>
          <w:lang w:val="en-US"/>
        </w:rPr>
      </w:pPr>
      <w:r w:rsidRPr="009918BD">
        <w:rPr>
          <w:lang w:val="en-US"/>
        </w:rPr>
        <w:lastRenderedPageBreak/>
        <w:t>Realism also depends on the ability to explain system modeling (i.e. the choice of agents, their behavioral parameters, the initial configuration, as well as all the simplifications necessary for the model to run) to decision-makers: if it's a black box, then we'll distrust it, which isn't very useful in an applied context.</w:t>
      </w:r>
    </w:p>
    <w:p w:rsidR="009918BD" w:rsidRPr="009918BD" w:rsidRDefault="009918BD" w:rsidP="00FF3E75">
      <w:pPr>
        <w:numPr>
          <w:ilvl w:val="0"/>
          <w:numId w:val="12"/>
        </w:numPr>
        <w:spacing w:after="160" w:line="360" w:lineRule="auto"/>
        <w:jc w:val="both"/>
        <w:rPr>
          <w:lang w:val="en-US"/>
        </w:rPr>
      </w:pPr>
      <w:r w:rsidRPr="009918BD">
        <w:rPr>
          <w:lang w:val="en-US"/>
        </w:rPr>
        <w:t xml:space="preserve">This realism also depends on the question posed, the degree of precision required and the scale of analysis: a model designed to understand crowd movements in a railway station during an emergency will not be useful for understanding population movements over a year after a tsunami! </w:t>
      </w:r>
    </w:p>
    <w:p w:rsidR="009918BD" w:rsidRPr="009918BD" w:rsidRDefault="009918BD" w:rsidP="00FF3E75">
      <w:pPr>
        <w:numPr>
          <w:ilvl w:val="0"/>
          <w:numId w:val="12"/>
        </w:numPr>
        <w:spacing w:after="160" w:line="360" w:lineRule="auto"/>
        <w:jc w:val="both"/>
        <w:rPr>
          <w:lang w:val="en-US"/>
        </w:rPr>
      </w:pPr>
      <w:r w:rsidRPr="009918BD">
        <w:rPr>
          <w:lang w:val="en-US"/>
        </w:rPr>
        <w:t>But in short, once the question and the model have been specified, it's the exploration of variations in the pairing [starting situations, behavioral parameters] that becomes important. These variations must also be realistic, mutually compatible, and sufficiently systematic so that the model exploration can discover the 'families' of outcomes as described above.</w:t>
      </w:r>
    </w:p>
    <w:p w:rsidR="00136D05" w:rsidRPr="006F3E66" w:rsidRDefault="00136D05" w:rsidP="00FF3E75">
      <w:pPr>
        <w:spacing w:line="360" w:lineRule="auto"/>
        <w:rPr>
          <w:lang w:val="en-US"/>
        </w:rPr>
      </w:pPr>
    </w:p>
    <w:p w:rsidR="00136D05" w:rsidRPr="006F3E66" w:rsidRDefault="005B24D2" w:rsidP="00FF3E75">
      <w:pPr>
        <w:spacing w:line="360" w:lineRule="auto"/>
        <w:rPr>
          <w:b/>
          <w:lang w:val="en-US"/>
        </w:rPr>
      </w:pPr>
      <w:proofErr w:type="gramStart"/>
      <w:r w:rsidRPr="006F3E66">
        <w:rPr>
          <w:b/>
          <w:lang w:val="en-US"/>
        </w:rPr>
        <w:t>References :</w:t>
      </w:r>
      <w:proofErr w:type="gramEnd"/>
      <w:r w:rsidRPr="006F3E66">
        <w:rPr>
          <w:b/>
          <w:lang w:val="en-US"/>
        </w:rPr>
        <w:t xml:space="preserve"> </w:t>
      </w:r>
    </w:p>
    <w:p w:rsidR="00136D05" w:rsidRPr="006F3E66" w:rsidRDefault="00136D05" w:rsidP="00FF3E75">
      <w:pPr>
        <w:spacing w:line="360" w:lineRule="auto"/>
        <w:rPr>
          <w:b/>
          <w:lang w:val="en-US"/>
        </w:rPr>
      </w:pPr>
    </w:p>
    <w:p w:rsidR="00136D05" w:rsidRPr="00301D40" w:rsidRDefault="005B24D2" w:rsidP="00FF3E75">
      <w:pPr>
        <w:spacing w:line="360" w:lineRule="auto"/>
        <w:jc w:val="both"/>
        <w:rPr>
          <w:lang w:val="en-US"/>
        </w:rPr>
      </w:pPr>
      <w:proofErr w:type="spellStart"/>
      <w:r w:rsidRPr="00301D40">
        <w:rPr>
          <w:lang w:val="en-US"/>
        </w:rPr>
        <w:t>Bonabeau</w:t>
      </w:r>
      <w:proofErr w:type="spellEnd"/>
      <w:r w:rsidRPr="00301D40">
        <w:rPr>
          <w:lang w:val="en-US"/>
        </w:rPr>
        <w:t>, E. (2002).</w:t>
      </w:r>
      <w:r w:rsidRPr="00301D40">
        <w:rPr>
          <w:lang w:val="en-US"/>
        </w:rPr>
        <w:t xml:space="preserve"> Agent-based modeling: Methods and techniques for simulating human systems. </w:t>
      </w:r>
      <w:proofErr w:type="spellStart"/>
      <w:r w:rsidRPr="00301D40">
        <w:rPr>
          <w:lang w:val="en-US"/>
        </w:rPr>
        <w:t>Icosystem</w:t>
      </w:r>
      <w:proofErr w:type="spellEnd"/>
      <w:r w:rsidRPr="00301D40">
        <w:rPr>
          <w:lang w:val="en-US"/>
        </w:rPr>
        <w:t xml:space="preserve"> Corporation, 545 Concord Avenue, Cambridge, MA 02138</w:t>
      </w:r>
    </w:p>
    <w:p w:rsidR="00136D05" w:rsidRDefault="005B24D2" w:rsidP="00FF3E75">
      <w:pPr>
        <w:spacing w:line="360" w:lineRule="auto"/>
        <w:jc w:val="both"/>
        <w:rPr>
          <w:lang w:val="en-US"/>
        </w:rPr>
      </w:pPr>
      <w:r w:rsidRPr="00301D40">
        <w:rPr>
          <w:lang w:val="en-US"/>
        </w:rPr>
        <w:t xml:space="preserve"> doi:10.1073/pnas.082080899.</w:t>
      </w:r>
    </w:p>
    <w:p w:rsidR="00301D40" w:rsidRPr="00301D40" w:rsidRDefault="00301D40" w:rsidP="00FF3E75">
      <w:pPr>
        <w:spacing w:line="360" w:lineRule="auto"/>
        <w:jc w:val="both"/>
        <w:rPr>
          <w:lang w:val="en-US"/>
        </w:rPr>
      </w:pPr>
    </w:p>
    <w:p w:rsidR="00136D05" w:rsidRPr="00301D40" w:rsidRDefault="005B24D2" w:rsidP="00FF3E75">
      <w:pPr>
        <w:spacing w:line="360" w:lineRule="auto"/>
        <w:jc w:val="both"/>
        <w:rPr>
          <w:lang w:val="en-US"/>
        </w:rPr>
      </w:pPr>
      <w:proofErr w:type="spellStart"/>
      <w:r w:rsidRPr="00301D40">
        <w:rPr>
          <w:lang w:val="en-US"/>
        </w:rPr>
        <w:t>Macal</w:t>
      </w:r>
      <w:proofErr w:type="spellEnd"/>
      <w:r w:rsidR="00301D40">
        <w:rPr>
          <w:lang w:val="en-US"/>
        </w:rPr>
        <w:t>, C.</w:t>
      </w:r>
      <w:r w:rsidRPr="00301D40">
        <w:rPr>
          <w:lang w:val="en-US"/>
        </w:rPr>
        <w:t xml:space="preserve"> (2016). </w:t>
      </w:r>
      <w:r w:rsidRPr="00301D40">
        <w:rPr>
          <w:lang w:val="en-US"/>
        </w:rPr>
        <w:t>Everything you need to know about agent-based modelling and simulation, Journal of Simulation, 10:2, 144-156, DOI: 10.1057/jos.2016.7.</w:t>
      </w:r>
    </w:p>
    <w:p w:rsidR="00136D05" w:rsidRPr="00301D40" w:rsidRDefault="00136D05" w:rsidP="00FF3E75">
      <w:pPr>
        <w:spacing w:line="360" w:lineRule="auto"/>
        <w:jc w:val="both"/>
        <w:rPr>
          <w:lang w:val="en-US"/>
        </w:rPr>
      </w:pPr>
    </w:p>
    <w:p w:rsidR="00136D05" w:rsidRPr="00301D40" w:rsidRDefault="005B24D2" w:rsidP="00FF3E75">
      <w:pPr>
        <w:spacing w:line="360" w:lineRule="auto"/>
        <w:jc w:val="both"/>
        <w:rPr>
          <w:lang w:val="en-US"/>
        </w:rPr>
      </w:pPr>
      <w:r w:rsidRPr="00301D40">
        <w:rPr>
          <w:lang w:val="en-US"/>
        </w:rPr>
        <w:t xml:space="preserve">D. </w:t>
      </w:r>
      <w:proofErr w:type="spellStart"/>
      <w:r w:rsidRPr="00301D40">
        <w:rPr>
          <w:lang w:val="en-US"/>
        </w:rPr>
        <w:t>Carraminana</w:t>
      </w:r>
      <w:proofErr w:type="spellEnd"/>
      <w:r w:rsidRPr="00301D40">
        <w:rPr>
          <w:lang w:val="en-US"/>
        </w:rPr>
        <w:t xml:space="preserve"> &amp; Al (2024). </w:t>
      </w:r>
      <w:r w:rsidRPr="00301D40">
        <w:rPr>
          <w:lang w:val="en-US"/>
        </w:rPr>
        <w:t>Towards resilient cities: A hybrid simulation framework for risk mitigation through data-dr</w:t>
      </w:r>
      <w:r w:rsidRPr="00301D40">
        <w:rPr>
          <w:lang w:val="en-US"/>
        </w:rPr>
        <w:t xml:space="preserve">iven decision making, Information Processing and Telecommunications Center, Universidad </w:t>
      </w:r>
      <w:proofErr w:type="spellStart"/>
      <w:r w:rsidRPr="00301D40">
        <w:rPr>
          <w:lang w:val="en-US"/>
        </w:rPr>
        <w:t>Politécnica</w:t>
      </w:r>
      <w:proofErr w:type="spellEnd"/>
      <w:r w:rsidRPr="00301D40">
        <w:rPr>
          <w:lang w:val="en-US"/>
        </w:rPr>
        <w:t xml:space="preserve"> de Madrid, Spain, </w:t>
      </w:r>
      <w:hyperlink r:id="rId29">
        <w:r w:rsidRPr="00301D40">
          <w:rPr>
            <w:color w:val="1155CC"/>
            <w:u w:val="single"/>
            <w:lang w:val="en-US"/>
          </w:rPr>
          <w:t>https://doi.org/10.1016/j.simpat.2024.102924</w:t>
        </w:r>
      </w:hyperlink>
      <w:r w:rsidRPr="00301D40">
        <w:rPr>
          <w:lang w:val="en-US"/>
        </w:rPr>
        <w:t>.</w:t>
      </w:r>
    </w:p>
    <w:p w:rsidR="00136D05" w:rsidRPr="00301D40" w:rsidRDefault="00136D05" w:rsidP="00FF3E75">
      <w:pPr>
        <w:spacing w:line="360" w:lineRule="auto"/>
        <w:jc w:val="both"/>
        <w:rPr>
          <w:lang w:val="en-US"/>
        </w:rPr>
      </w:pPr>
    </w:p>
    <w:p w:rsidR="00136D05" w:rsidRPr="00301D40" w:rsidRDefault="005B24D2" w:rsidP="00FF3E75">
      <w:pPr>
        <w:spacing w:line="360" w:lineRule="auto"/>
        <w:jc w:val="both"/>
        <w:rPr>
          <w:lang w:val="en-US"/>
        </w:rPr>
      </w:pPr>
      <w:proofErr w:type="spellStart"/>
      <w:r w:rsidRPr="00301D40">
        <w:rPr>
          <w:lang w:val="en-US"/>
        </w:rPr>
        <w:t>Ottenburger</w:t>
      </w:r>
      <w:proofErr w:type="spellEnd"/>
      <w:r w:rsidRPr="00301D40">
        <w:rPr>
          <w:lang w:val="en-US"/>
        </w:rPr>
        <w:t>. S &amp; Al (2017)</w:t>
      </w:r>
      <w:r w:rsidRPr="00301D40">
        <w:rPr>
          <w:lang w:val="en-US"/>
        </w:rPr>
        <w:t xml:space="preserve"> </w:t>
      </w:r>
      <w:r w:rsidRPr="00301D40">
        <w:rPr>
          <w:lang w:val="en-US"/>
        </w:rPr>
        <w:t>Enhancing Urban Resilience via a Real-Time Decision Support System for Smart Cities,</w:t>
      </w:r>
      <w:r w:rsidRPr="00301D40">
        <w:rPr>
          <w:lang w:val="en-US"/>
        </w:rPr>
        <w:t xml:space="preserve"> Institute of Nuclear and Energy Technology, Karlsruhe Institute of Technology (KIT), Karlsruhe, Germany. VTT, Technical Research Centre of Finland Ltd, Espoo, Finland. DOI</w:t>
      </w:r>
      <w:r w:rsidRPr="00301D40">
        <w:rPr>
          <w:lang w:val="en-US"/>
        </w:rPr>
        <w:t>: 10.1109/ICE.2017.8279970.</w:t>
      </w:r>
    </w:p>
    <w:p w:rsidR="00C16E3A" w:rsidRPr="00C16E3A" w:rsidRDefault="005B24D2" w:rsidP="00FF3E75">
      <w:pPr>
        <w:pStyle w:val="berschrift1"/>
        <w:numPr>
          <w:ilvl w:val="0"/>
          <w:numId w:val="20"/>
        </w:numPr>
        <w:spacing w:line="360" w:lineRule="auto"/>
        <w:rPr>
          <w:b/>
          <w:sz w:val="28"/>
          <w:szCs w:val="28"/>
        </w:rPr>
      </w:pPr>
      <w:bookmarkStart w:id="12" w:name="_4gnckqo53729" w:colFirst="0" w:colLast="0"/>
      <w:bookmarkEnd w:id="12"/>
      <w:proofErr w:type="spellStart"/>
      <w:r w:rsidRPr="00301D40">
        <w:rPr>
          <w:b/>
          <w:sz w:val="28"/>
          <w:szCs w:val="28"/>
        </w:rPr>
        <w:lastRenderedPageBreak/>
        <w:t>Indicators</w:t>
      </w:r>
      <w:proofErr w:type="spellEnd"/>
      <w:r w:rsidRPr="00301D40">
        <w:rPr>
          <w:b/>
          <w:sz w:val="28"/>
          <w:szCs w:val="28"/>
        </w:rPr>
        <w:t xml:space="preserve"> and R-INDEX </w:t>
      </w:r>
    </w:p>
    <w:p w:rsidR="00C16E3A" w:rsidRPr="00C16E3A" w:rsidRDefault="00C16E3A" w:rsidP="00FF3E75">
      <w:pPr>
        <w:spacing w:line="360" w:lineRule="auto"/>
        <w:rPr>
          <w:b/>
          <w:lang w:val="en-US"/>
        </w:rPr>
      </w:pPr>
      <w:r w:rsidRPr="00C16E3A">
        <w:rPr>
          <w:b/>
          <w:lang w:val="en-US"/>
        </w:rPr>
        <w:t xml:space="preserve">Figure 7: The Kehler Management-System </w:t>
      </w:r>
    </w:p>
    <w:p w:rsidR="00136D05" w:rsidRDefault="00136D05" w:rsidP="00FF3E75">
      <w:pPr>
        <w:spacing w:line="360" w:lineRule="auto"/>
      </w:pPr>
    </w:p>
    <w:p w:rsidR="00C16E3A" w:rsidRDefault="00C16E3A" w:rsidP="00FF3E75">
      <w:pPr>
        <w:spacing w:line="360" w:lineRule="auto"/>
        <w:jc w:val="center"/>
      </w:pPr>
      <w:r w:rsidRPr="00C16E3A">
        <w:rPr>
          <w:noProof/>
        </w:rPr>
        <w:drawing>
          <wp:inline distT="0" distB="0" distL="0" distR="0">
            <wp:extent cx="4648200" cy="343728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57390" cy="3444081"/>
                    </a:xfrm>
                    <a:prstGeom prst="rect">
                      <a:avLst/>
                    </a:prstGeom>
                    <a:noFill/>
                    <a:ln>
                      <a:noFill/>
                    </a:ln>
                  </pic:spPr>
                </pic:pic>
              </a:graphicData>
            </a:graphic>
          </wp:inline>
        </w:drawing>
      </w:r>
    </w:p>
    <w:p w:rsidR="00136D05" w:rsidRDefault="00136D05" w:rsidP="00FF3E75">
      <w:pPr>
        <w:spacing w:line="360" w:lineRule="auto"/>
      </w:pPr>
    </w:p>
    <w:p w:rsidR="00C16E3A" w:rsidRPr="00C16E3A" w:rsidRDefault="00C16E3A" w:rsidP="00FF3E75">
      <w:pPr>
        <w:spacing w:line="360" w:lineRule="auto"/>
        <w:jc w:val="both"/>
        <w:rPr>
          <w:b/>
          <w:lang w:val="en-US"/>
        </w:rPr>
      </w:pPr>
      <w:bookmarkStart w:id="13" w:name="_Hlk190368741"/>
      <w:r w:rsidRPr="00C16E3A">
        <w:rPr>
          <w:b/>
          <w:lang w:val="en-US"/>
        </w:rPr>
        <w:t xml:space="preserve">Figure 8: Illustration builds upon the foundational work of Stephanie </w:t>
      </w:r>
      <w:proofErr w:type="spellStart"/>
      <w:r w:rsidRPr="00C16E3A">
        <w:rPr>
          <w:b/>
          <w:lang w:val="en-US"/>
        </w:rPr>
        <w:t>Duchek</w:t>
      </w:r>
      <w:proofErr w:type="spellEnd"/>
      <w:r w:rsidRPr="00C16E3A">
        <w:rPr>
          <w:b/>
          <w:lang w:val="en-US"/>
        </w:rPr>
        <w:t xml:space="preserve"> on organizational resilience processes and Erik </w:t>
      </w:r>
      <w:proofErr w:type="spellStart"/>
      <w:r w:rsidRPr="00C16E3A">
        <w:rPr>
          <w:b/>
          <w:lang w:val="en-US"/>
        </w:rPr>
        <w:t>Hollnagel's</w:t>
      </w:r>
      <w:proofErr w:type="spellEnd"/>
      <w:r w:rsidRPr="00C16E3A">
        <w:rPr>
          <w:b/>
          <w:lang w:val="en-US"/>
        </w:rPr>
        <w:t xml:space="preserve"> Resilience Analysis Grid (RAG)</w:t>
      </w:r>
    </w:p>
    <w:bookmarkEnd w:id="13"/>
    <w:p w:rsidR="00136D05" w:rsidRPr="00C16E3A" w:rsidRDefault="00C16E3A" w:rsidP="00FF3E75">
      <w:pPr>
        <w:spacing w:line="360" w:lineRule="auto"/>
        <w:rPr>
          <w:lang w:val="en-US"/>
        </w:rPr>
      </w:pPr>
      <w:r w:rsidRPr="00C16E3A">
        <w:rPr>
          <w:noProof/>
          <w:lang w:val="en-US"/>
        </w:rPr>
        <w:drawing>
          <wp:inline distT="0" distB="0" distL="0" distR="0">
            <wp:extent cx="5773137" cy="27813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2432" cy="2819502"/>
                    </a:xfrm>
                    <a:prstGeom prst="rect">
                      <a:avLst/>
                    </a:prstGeom>
                    <a:noFill/>
                    <a:ln>
                      <a:noFill/>
                    </a:ln>
                  </pic:spPr>
                </pic:pic>
              </a:graphicData>
            </a:graphic>
          </wp:inline>
        </w:drawing>
      </w:r>
    </w:p>
    <w:p w:rsidR="00136D05" w:rsidRPr="00C16E3A" w:rsidRDefault="005B24D2" w:rsidP="00FF3E75">
      <w:pPr>
        <w:spacing w:line="360" w:lineRule="auto"/>
        <w:rPr>
          <w:b/>
        </w:rPr>
      </w:pPr>
      <w:r w:rsidRPr="00C16E3A">
        <w:rPr>
          <w:b/>
        </w:rPr>
        <w:lastRenderedPageBreak/>
        <w:t xml:space="preserve">Notes </w:t>
      </w:r>
      <w:proofErr w:type="spellStart"/>
      <w:r w:rsidRPr="00C16E3A">
        <w:rPr>
          <w:b/>
        </w:rPr>
        <w:t>from</w:t>
      </w:r>
      <w:proofErr w:type="spellEnd"/>
      <w:r w:rsidRPr="00C16E3A">
        <w:rPr>
          <w:b/>
        </w:rPr>
        <w:t xml:space="preserve"> </w:t>
      </w:r>
      <w:proofErr w:type="spellStart"/>
      <w:r w:rsidRPr="00C16E3A">
        <w:rPr>
          <w:b/>
        </w:rPr>
        <w:t>the</w:t>
      </w:r>
      <w:proofErr w:type="spellEnd"/>
      <w:r w:rsidRPr="00C16E3A">
        <w:rPr>
          <w:b/>
        </w:rPr>
        <w:t xml:space="preserve"> </w:t>
      </w:r>
      <w:proofErr w:type="spellStart"/>
      <w:r w:rsidRPr="00C16E3A">
        <w:rPr>
          <w:b/>
        </w:rPr>
        <w:t>discussion</w:t>
      </w:r>
      <w:proofErr w:type="spellEnd"/>
      <w:r w:rsidRPr="00C16E3A">
        <w:rPr>
          <w:b/>
        </w:rPr>
        <w:t xml:space="preserve">: </w:t>
      </w:r>
    </w:p>
    <w:p w:rsidR="00136D05" w:rsidRPr="00C16E3A" w:rsidRDefault="00136D05" w:rsidP="00FF3E75">
      <w:pPr>
        <w:spacing w:line="360" w:lineRule="auto"/>
      </w:pPr>
    </w:p>
    <w:p w:rsidR="00136D05" w:rsidRPr="00C16E3A" w:rsidRDefault="005B24D2" w:rsidP="00FF3E75">
      <w:pPr>
        <w:numPr>
          <w:ilvl w:val="0"/>
          <w:numId w:val="13"/>
        </w:numPr>
        <w:spacing w:line="360" w:lineRule="auto"/>
        <w:jc w:val="both"/>
        <w:rPr>
          <w:rFonts w:eastAsia="Calibri"/>
          <w:lang w:val="en-US"/>
        </w:rPr>
      </w:pPr>
      <w:r w:rsidRPr="00C16E3A">
        <w:rPr>
          <w:rFonts w:eastAsia="Calibri"/>
          <w:lang w:val="en-US"/>
        </w:rPr>
        <w:t>The KMS (</w:t>
      </w:r>
      <w:proofErr w:type="spellStart"/>
      <w:r w:rsidRPr="00C16E3A">
        <w:rPr>
          <w:rFonts w:eastAsia="Calibri"/>
          <w:lang w:val="en-US"/>
        </w:rPr>
        <w:t>Kehler</w:t>
      </w:r>
      <w:proofErr w:type="spellEnd"/>
      <w:r w:rsidRPr="00C16E3A">
        <w:rPr>
          <w:rFonts w:eastAsia="Calibri"/>
          <w:lang w:val="en-US"/>
        </w:rPr>
        <w:t xml:space="preserve"> Management System) is an assessment tool for the quality of government (six dimensions of quality government that are also relevant for public res</w:t>
      </w:r>
      <w:r w:rsidRPr="00C16E3A">
        <w:rPr>
          <w:rFonts w:eastAsia="Calibri"/>
          <w:lang w:val="en-US"/>
        </w:rPr>
        <w:t>ilience)</w:t>
      </w:r>
      <w:r w:rsidR="00C16E3A" w:rsidRPr="00C16E3A">
        <w:rPr>
          <w:rFonts w:eastAsia="Calibri"/>
          <w:lang w:val="en-US"/>
        </w:rPr>
        <w:t>.</w:t>
      </w:r>
    </w:p>
    <w:p w:rsidR="00136D05" w:rsidRPr="00C16E3A" w:rsidRDefault="005B24D2" w:rsidP="00FF3E75">
      <w:pPr>
        <w:numPr>
          <w:ilvl w:val="0"/>
          <w:numId w:val="13"/>
        </w:numPr>
        <w:spacing w:line="360" w:lineRule="auto"/>
        <w:jc w:val="both"/>
        <w:rPr>
          <w:rFonts w:eastAsia="Calibri"/>
          <w:lang w:val="en-US"/>
        </w:rPr>
      </w:pPr>
      <w:r w:rsidRPr="00C16E3A">
        <w:rPr>
          <w:rFonts w:eastAsia="Calibri"/>
          <w:lang w:val="en-US"/>
        </w:rPr>
        <w:t xml:space="preserve">First thoughts on a R-Index comprise the capability-based resilience process by </w:t>
      </w:r>
      <w:proofErr w:type="spellStart"/>
      <w:r w:rsidRPr="00C16E3A">
        <w:rPr>
          <w:rFonts w:eastAsia="Calibri"/>
          <w:lang w:val="en-US"/>
        </w:rPr>
        <w:t>Duchek</w:t>
      </w:r>
      <w:proofErr w:type="spellEnd"/>
      <w:r w:rsidRPr="00C16E3A">
        <w:rPr>
          <w:rFonts w:eastAsia="Calibri"/>
          <w:lang w:val="en-US"/>
        </w:rPr>
        <w:t xml:space="preserve"> and the Resilience Assessment Grid (RAG) by </w:t>
      </w:r>
      <w:proofErr w:type="spellStart"/>
      <w:r w:rsidRPr="00C16E3A">
        <w:rPr>
          <w:rFonts w:eastAsia="Calibri"/>
          <w:lang w:val="en-US"/>
        </w:rPr>
        <w:t>Hollnagel</w:t>
      </w:r>
      <w:proofErr w:type="spellEnd"/>
      <w:r w:rsidR="00C16E3A" w:rsidRPr="00C16E3A">
        <w:rPr>
          <w:rFonts w:eastAsia="Calibri"/>
          <w:lang w:val="en-US"/>
        </w:rPr>
        <w:t>.</w:t>
      </w:r>
    </w:p>
    <w:p w:rsidR="00136D05" w:rsidRPr="00C16E3A" w:rsidRDefault="005B24D2" w:rsidP="00FF3E75">
      <w:pPr>
        <w:numPr>
          <w:ilvl w:val="0"/>
          <w:numId w:val="13"/>
        </w:numPr>
        <w:spacing w:line="360" w:lineRule="auto"/>
        <w:jc w:val="both"/>
        <w:rPr>
          <w:rFonts w:eastAsia="Calibri"/>
          <w:lang w:val="en-US"/>
        </w:rPr>
      </w:pPr>
      <w:r w:rsidRPr="00C16E3A">
        <w:rPr>
          <w:rFonts w:eastAsia="Calibri"/>
          <w:lang w:val="en-US"/>
        </w:rPr>
        <w:t>Question: How can we foster the development of improvisation capacity of individuals to deal with uncertai</w:t>
      </w:r>
      <w:r w:rsidRPr="00C16E3A">
        <w:rPr>
          <w:rFonts w:eastAsia="Calibri"/>
          <w:lang w:val="en-US"/>
        </w:rPr>
        <w:t>n situations?</w:t>
      </w:r>
    </w:p>
    <w:p w:rsidR="00136D05" w:rsidRPr="00C16E3A" w:rsidRDefault="005B24D2" w:rsidP="00FF3E75">
      <w:pPr>
        <w:numPr>
          <w:ilvl w:val="0"/>
          <w:numId w:val="13"/>
        </w:numPr>
        <w:spacing w:line="360" w:lineRule="auto"/>
        <w:jc w:val="both"/>
        <w:rPr>
          <w:rFonts w:eastAsia="Calibri"/>
          <w:lang w:val="en-US"/>
        </w:rPr>
      </w:pPr>
      <w:r w:rsidRPr="00C16E3A">
        <w:rPr>
          <w:rFonts w:eastAsia="Calibri"/>
          <w:lang w:val="en-US"/>
        </w:rPr>
        <w:t>Key factors for individual improvisation capacity are leadership, empowerment and agency-belief</w:t>
      </w:r>
      <w:r w:rsidR="00C16E3A" w:rsidRPr="00C16E3A">
        <w:rPr>
          <w:rFonts w:eastAsia="Calibri"/>
          <w:lang w:val="en-US"/>
        </w:rPr>
        <w:t>.</w:t>
      </w:r>
    </w:p>
    <w:p w:rsidR="00136D05" w:rsidRPr="00C16E3A" w:rsidRDefault="005B24D2" w:rsidP="00FF3E75">
      <w:pPr>
        <w:numPr>
          <w:ilvl w:val="0"/>
          <w:numId w:val="13"/>
        </w:numPr>
        <w:spacing w:line="360" w:lineRule="auto"/>
        <w:jc w:val="both"/>
        <w:rPr>
          <w:rFonts w:eastAsia="Calibri"/>
          <w:lang w:val="en-US"/>
        </w:rPr>
      </w:pPr>
      <w:r w:rsidRPr="00C16E3A">
        <w:rPr>
          <w:rFonts w:eastAsia="Calibri"/>
          <w:lang w:val="en-US"/>
        </w:rPr>
        <w:t xml:space="preserve">Improvisation is to a certain degree a property that cannot be trained but to some extent a capacity that can be developed (being free to express </w:t>
      </w:r>
      <w:r w:rsidRPr="00C16E3A">
        <w:rPr>
          <w:rFonts w:eastAsia="Calibri"/>
          <w:lang w:val="en-US"/>
        </w:rPr>
        <w:t>creativity, do things differently, having a high tolerance to ambiguity</w:t>
      </w:r>
      <w:r w:rsidR="00C16E3A" w:rsidRPr="00C16E3A">
        <w:rPr>
          <w:rFonts w:eastAsia="Calibri"/>
          <w:lang w:val="en-US"/>
        </w:rPr>
        <w:t>.</w:t>
      </w:r>
    </w:p>
    <w:p w:rsidR="00136D05" w:rsidRPr="00C16E3A" w:rsidRDefault="00136D05" w:rsidP="00FF3E75">
      <w:pPr>
        <w:spacing w:line="360" w:lineRule="auto"/>
        <w:jc w:val="both"/>
        <w:rPr>
          <w:rFonts w:eastAsia="Calibri"/>
          <w:lang w:val="en-US"/>
        </w:rPr>
      </w:pPr>
    </w:p>
    <w:p w:rsidR="00136D05" w:rsidRPr="00C16E3A" w:rsidRDefault="005B24D2" w:rsidP="00FF3E75">
      <w:pPr>
        <w:spacing w:line="360" w:lineRule="auto"/>
        <w:jc w:val="both"/>
        <w:rPr>
          <w:rFonts w:eastAsia="Calibri"/>
          <w:b/>
        </w:rPr>
      </w:pPr>
      <w:r w:rsidRPr="00C16E3A">
        <w:rPr>
          <w:rFonts w:eastAsia="Calibri"/>
          <w:b/>
        </w:rPr>
        <w:t>References</w:t>
      </w:r>
    </w:p>
    <w:p w:rsidR="00136D05" w:rsidRDefault="005B24D2" w:rsidP="00FF3E75">
      <w:pPr>
        <w:spacing w:before="240" w:after="240" w:line="360" w:lineRule="auto"/>
        <w:jc w:val="both"/>
        <w:rPr>
          <w:rFonts w:eastAsia="Calibri"/>
          <w:lang w:val="en-US"/>
        </w:rPr>
      </w:pPr>
      <w:proofErr w:type="spellStart"/>
      <w:r w:rsidRPr="00C16E3A">
        <w:rPr>
          <w:rFonts w:eastAsia="Calibri"/>
          <w:lang w:val="en-US"/>
        </w:rPr>
        <w:t>Duchek</w:t>
      </w:r>
      <w:proofErr w:type="spellEnd"/>
      <w:r w:rsidRPr="00C16E3A">
        <w:rPr>
          <w:rFonts w:eastAsia="Calibri"/>
          <w:lang w:val="en-US"/>
        </w:rPr>
        <w:t xml:space="preserve"> S. (2020): Organizational resilience: a capability-based </w:t>
      </w:r>
      <w:proofErr w:type="spellStart"/>
      <w:r w:rsidRPr="00C16E3A">
        <w:rPr>
          <w:rFonts w:eastAsia="Calibri"/>
          <w:lang w:val="en-US"/>
        </w:rPr>
        <w:t>conceptualisation</w:t>
      </w:r>
      <w:proofErr w:type="spellEnd"/>
      <w:r w:rsidRPr="00C16E3A">
        <w:rPr>
          <w:rFonts w:eastAsia="Calibri"/>
          <w:lang w:val="en-US"/>
        </w:rPr>
        <w:t>, in: Business Research, Vol. 13, pp. 215-246.</w:t>
      </w:r>
    </w:p>
    <w:p w:rsidR="00BA09CD" w:rsidRPr="00C16E3A" w:rsidRDefault="00BA09CD" w:rsidP="00FF3E75">
      <w:pPr>
        <w:spacing w:before="240" w:after="240" w:line="360" w:lineRule="auto"/>
        <w:jc w:val="both"/>
        <w:rPr>
          <w:rFonts w:eastAsia="Calibri"/>
          <w:lang w:val="en-US"/>
        </w:rPr>
      </w:pPr>
      <w:r w:rsidRPr="00BA09CD">
        <w:rPr>
          <w:rFonts w:eastAsia="Calibri"/>
          <w:lang w:val="de-DE"/>
        </w:rPr>
        <w:t xml:space="preserve">Böhmer, R., Busbach-Richard, U., Kiesel, B. (2020). </w:t>
      </w:r>
      <w:r w:rsidRPr="00BA09CD">
        <w:rPr>
          <w:rFonts w:eastAsia="Calibri"/>
          <w:lang w:val="en-US"/>
        </w:rPr>
        <w:t xml:space="preserve">The </w:t>
      </w:r>
      <w:proofErr w:type="spellStart"/>
      <w:r w:rsidRPr="00BA09CD">
        <w:rPr>
          <w:rFonts w:eastAsia="Calibri"/>
          <w:lang w:val="en-US"/>
        </w:rPr>
        <w:t>Kehler</w:t>
      </w:r>
      <w:proofErr w:type="spellEnd"/>
      <w:r w:rsidRPr="00BA09CD">
        <w:rPr>
          <w:rFonts w:eastAsia="Calibri"/>
          <w:lang w:val="en-US"/>
        </w:rPr>
        <w:t xml:space="preserve"> Management System: A Holistic Framework for the Administration of Municipalities. Economics and Culture. Volume 17 (2020): Issue. pp. 50-62. https://doi.org/10.2478/jec-2020-0020</w:t>
      </w:r>
    </w:p>
    <w:p w:rsidR="00136D05" w:rsidRPr="00C16E3A" w:rsidRDefault="005B24D2" w:rsidP="00FF3E75">
      <w:pPr>
        <w:spacing w:before="240" w:after="240" w:line="360" w:lineRule="auto"/>
        <w:jc w:val="both"/>
        <w:rPr>
          <w:rFonts w:eastAsia="Calibri"/>
          <w:lang w:val="en-US"/>
        </w:rPr>
      </w:pPr>
      <w:proofErr w:type="spellStart"/>
      <w:r w:rsidRPr="00C16E3A">
        <w:rPr>
          <w:rFonts w:eastAsia="Calibri"/>
          <w:lang w:val="en-US"/>
        </w:rPr>
        <w:t>Hollnagel</w:t>
      </w:r>
      <w:proofErr w:type="spellEnd"/>
      <w:r w:rsidRPr="00C16E3A">
        <w:rPr>
          <w:rFonts w:eastAsia="Calibri"/>
          <w:lang w:val="en-US"/>
        </w:rPr>
        <w:t xml:space="preserve"> E. (2011): RAG – The resilience analysis grid. In: E. </w:t>
      </w:r>
      <w:proofErr w:type="spellStart"/>
      <w:r w:rsidRPr="00C16E3A">
        <w:rPr>
          <w:rFonts w:eastAsia="Calibri"/>
          <w:lang w:val="en-US"/>
        </w:rPr>
        <w:t>Hollnagel</w:t>
      </w:r>
      <w:proofErr w:type="spellEnd"/>
      <w:r w:rsidRPr="00C16E3A">
        <w:rPr>
          <w:rFonts w:eastAsia="Calibri"/>
          <w:lang w:val="en-US"/>
        </w:rPr>
        <w:t xml:space="preserve">, J. </w:t>
      </w:r>
      <w:proofErr w:type="spellStart"/>
      <w:r w:rsidRPr="00C16E3A">
        <w:rPr>
          <w:rFonts w:eastAsia="Calibri"/>
          <w:lang w:val="en-US"/>
        </w:rPr>
        <w:t>Pariès</w:t>
      </w:r>
      <w:proofErr w:type="spellEnd"/>
      <w:r w:rsidRPr="00C16E3A">
        <w:rPr>
          <w:rFonts w:eastAsia="Calibri"/>
          <w:lang w:val="en-US"/>
        </w:rPr>
        <w:t xml:space="preserve">, D. D. Woods &amp; J. </w:t>
      </w:r>
      <w:proofErr w:type="spellStart"/>
      <w:r w:rsidRPr="00C16E3A">
        <w:rPr>
          <w:rFonts w:eastAsia="Calibri"/>
          <w:lang w:val="en-US"/>
        </w:rPr>
        <w:t>Wreathall</w:t>
      </w:r>
      <w:proofErr w:type="spellEnd"/>
      <w:r w:rsidRPr="00C16E3A">
        <w:rPr>
          <w:rFonts w:eastAsia="Calibri"/>
          <w:lang w:val="en-US"/>
        </w:rPr>
        <w:t xml:space="preserve"> (Eds), Resilience Engineering in Practice. A Guidebook. </w:t>
      </w:r>
      <w:proofErr w:type="spellStart"/>
      <w:r w:rsidRPr="00C16E3A">
        <w:rPr>
          <w:rFonts w:eastAsia="Calibri"/>
          <w:lang w:val="en-US"/>
        </w:rPr>
        <w:t>Farnham</w:t>
      </w:r>
      <w:proofErr w:type="spellEnd"/>
      <w:r w:rsidRPr="00C16E3A">
        <w:rPr>
          <w:rFonts w:eastAsia="Calibri"/>
          <w:lang w:val="en-US"/>
        </w:rPr>
        <w:t>, Ashgate.</w:t>
      </w:r>
    </w:p>
    <w:p w:rsidR="00136D05" w:rsidRPr="00C16E3A" w:rsidRDefault="005B24D2" w:rsidP="00FF3E75">
      <w:pPr>
        <w:spacing w:before="240" w:after="240" w:line="360" w:lineRule="auto"/>
        <w:jc w:val="both"/>
        <w:rPr>
          <w:rFonts w:eastAsia="Calibri"/>
          <w:lang w:val="en-US"/>
        </w:rPr>
      </w:pPr>
      <w:r w:rsidRPr="00C16E3A">
        <w:rPr>
          <w:rFonts w:eastAsia="Calibri"/>
          <w:lang w:val="en-US"/>
        </w:rPr>
        <w:t>Lee, A. V./ Lee, J. V./ Seville, E. (2013): Developing a Tool to Meas</w:t>
      </w:r>
      <w:r w:rsidRPr="00C16E3A">
        <w:rPr>
          <w:rFonts w:eastAsia="Calibri"/>
          <w:lang w:val="en-US"/>
        </w:rPr>
        <w:t xml:space="preserve">ure and Compare </w:t>
      </w:r>
      <w:proofErr w:type="spellStart"/>
      <w:r w:rsidRPr="00C16E3A">
        <w:rPr>
          <w:rFonts w:eastAsia="Calibri"/>
          <w:lang w:val="en-US"/>
        </w:rPr>
        <w:t>Organisations'</w:t>
      </w:r>
      <w:proofErr w:type="spellEnd"/>
      <w:r w:rsidRPr="00C16E3A">
        <w:rPr>
          <w:rFonts w:eastAsia="Calibri"/>
          <w:lang w:val="en-US"/>
        </w:rPr>
        <w:t xml:space="preserve"> Resilience, in: Natural Hazards Review, American Society of Civil Engineers, Volume 14, pp. 29-41.</w:t>
      </w:r>
    </w:p>
    <w:p w:rsidR="00136D05" w:rsidRPr="00C16E3A" w:rsidRDefault="005B24D2" w:rsidP="00FF3E75">
      <w:pPr>
        <w:spacing w:before="240" w:after="240" w:line="360" w:lineRule="auto"/>
        <w:jc w:val="both"/>
        <w:rPr>
          <w:rFonts w:eastAsia="Calibri"/>
          <w:lang w:val="en-US"/>
        </w:rPr>
      </w:pPr>
      <w:r w:rsidRPr="00C16E3A">
        <w:rPr>
          <w:rFonts w:eastAsia="Calibri"/>
          <w:lang w:val="en-US"/>
        </w:rPr>
        <w:t xml:space="preserve">McManus S./ Seville E./ </w:t>
      </w:r>
      <w:proofErr w:type="spellStart"/>
      <w:r w:rsidRPr="00C16E3A">
        <w:rPr>
          <w:rFonts w:eastAsia="Calibri"/>
          <w:lang w:val="en-US"/>
        </w:rPr>
        <w:t>Brunsdon</w:t>
      </w:r>
      <w:proofErr w:type="spellEnd"/>
      <w:r w:rsidRPr="00C16E3A">
        <w:rPr>
          <w:rFonts w:eastAsia="Calibri"/>
          <w:lang w:val="en-US"/>
        </w:rPr>
        <w:t xml:space="preserve"> D./ Vargo J. (2007): Resilience Management - A Framework for Assessing and Improving the Resi</w:t>
      </w:r>
      <w:r w:rsidRPr="00C16E3A">
        <w:rPr>
          <w:rFonts w:eastAsia="Calibri"/>
          <w:lang w:val="en-US"/>
        </w:rPr>
        <w:t xml:space="preserve">lience of </w:t>
      </w:r>
      <w:proofErr w:type="spellStart"/>
      <w:r w:rsidRPr="00C16E3A">
        <w:rPr>
          <w:rFonts w:eastAsia="Calibri"/>
          <w:lang w:val="en-US"/>
        </w:rPr>
        <w:t>Organisations</w:t>
      </w:r>
      <w:proofErr w:type="spellEnd"/>
      <w:r w:rsidRPr="00C16E3A">
        <w:rPr>
          <w:rFonts w:eastAsia="Calibri"/>
          <w:lang w:val="en-US"/>
        </w:rPr>
        <w:t xml:space="preserve">, Resilient </w:t>
      </w:r>
      <w:proofErr w:type="spellStart"/>
      <w:r w:rsidRPr="00C16E3A">
        <w:rPr>
          <w:rFonts w:eastAsia="Calibri"/>
          <w:lang w:val="en-US"/>
        </w:rPr>
        <w:t>Organisations</w:t>
      </w:r>
      <w:proofErr w:type="spellEnd"/>
      <w:r w:rsidRPr="00C16E3A">
        <w:rPr>
          <w:rFonts w:eastAsia="Calibri"/>
          <w:lang w:val="en-US"/>
        </w:rPr>
        <w:t xml:space="preserve"> Research Report 2007/01, New Zealand.</w:t>
      </w:r>
    </w:p>
    <w:p w:rsidR="00136D05" w:rsidRDefault="005B24D2" w:rsidP="00FF3E75">
      <w:pPr>
        <w:pStyle w:val="berschrift1"/>
        <w:numPr>
          <w:ilvl w:val="0"/>
          <w:numId w:val="20"/>
        </w:numPr>
        <w:spacing w:line="360" w:lineRule="auto"/>
        <w:rPr>
          <w:b/>
          <w:sz w:val="28"/>
          <w:szCs w:val="28"/>
        </w:rPr>
      </w:pPr>
      <w:bookmarkStart w:id="14" w:name="_4rr4x9lf86bp" w:colFirst="0" w:colLast="0"/>
      <w:bookmarkEnd w:id="14"/>
      <w:r w:rsidRPr="00C16E3A">
        <w:rPr>
          <w:b/>
          <w:sz w:val="28"/>
          <w:szCs w:val="28"/>
        </w:rPr>
        <w:lastRenderedPageBreak/>
        <w:t>R</w:t>
      </w:r>
      <w:r w:rsidRPr="00C16E3A">
        <w:rPr>
          <w:b/>
          <w:sz w:val="28"/>
          <w:szCs w:val="28"/>
        </w:rPr>
        <w:t xml:space="preserve">esilient </w:t>
      </w:r>
      <w:proofErr w:type="spellStart"/>
      <w:r w:rsidRPr="00C16E3A">
        <w:rPr>
          <w:b/>
          <w:sz w:val="28"/>
          <w:szCs w:val="28"/>
        </w:rPr>
        <w:t>communities</w:t>
      </w:r>
      <w:proofErr w:type="spellEnd"/>
      <w:r w:rsidRPr="00C16E3A">
        <w:rPr>
          <w:b/>
          <w:sz w:val="28"/>
          <w:szCs w:val="28"/>
        </w:rPr>
        <w:t xml:space="preserve"> </w:t>
      </w:r>
    </w:p>
    <w:p w:rsidR="00D16A2F" w:rsidRPr="00D16A2F" w:rsidRDefault="00D16A2F" w:rsidP="00FF3E75">
      <w:pPr>
        <w:spacing w:line="360" w:lineRule="auto"/>
        <w:jc w:val="both"/>
        <w:rPr>
          <w:lang w:val="en-US"/>
        </w:rPr>
      </w:pPr>
      <w:r w:rsidRPr="00D16A2F">
        <w:rPr>
          <w:lang w:val="en-US"/>
        </w:rPr>
        <w:t xml:space="preserve">Communities are important for generating and sharing knowledge. The definition of community used during this presentation is based on the one of ‘knowing communities’ of Harvey and </w:t>
      </w:r>
      <w:proofErr w:type="spellStart"/>
      <w:r w:rsidRPr="00D16A2F">
        <w:rPr>
          <w:lang w:val="en-US"/>
        </w:rPr>
        <w:t>Cohendet</w:t>
      </w:r>
      <w:proofErr w:type="spellEnd"/>
      <w:r w:rsidRPr="00D16A2F">
        <w:rPr>
          <w:lang w:val="en-US"/>
        </w:rPr>
        <w:t xml:space="preserve"> (2015). Communities are dynamic groups of individuals connected by shared interests, practices, or passions. </w:t>
      </w:r>
    </w:p>
    <w:p w:rsidR="00D16A2F" w:rsidRPr="00D16A2F" w:rsidRDefault="00D16A2F" w:rsidP="00FF3E75">
      <w:pPr>
        <w:spacing w:line="360" w:lineRule="auto"/>
        <w:jc w:val="both"/>
        <w:rPr>
          <w:lang w:val="en-US"/>
        </w:rPr>
      </w:pPr>
      <w:r w:rsidRPr="00D16A2F">
        <w:rPr>
          <w:lang w:val="en-US"/>
        </w:rPr>
        <w:t>They engage in informal exchanges and collaborate across organizational boundaries, leveraging collective expertise. These adaptable communities thrive on cross-boundary collaboration and face the challenge of maintaining relevance and resilience in uncertain times.</w:t>
      </w:r>
    </w:p>
    <w:p w:rsidR="00D16A2F" w:rsidRPr="00D16A2F" w:rsidRDefault="00D16A2F" w:rsidP="00FF3E75">
      <w:pPr>
        <w:spacing w:line="360" w:lineRule="auto"/>
        <w:rPr>
          <w:lang w:val="en-US"/>
        </w:rPr>
      </w:pPr>
    </w:p>
    <w:p w:rsidR="00D16A2F" w:rsidRPr="00D16A2F" w:rsidRDefault="00D16A2F" w:rsidP="00FF3E75">
      <w:pPr>
        <w:spacing w:line="360" w:lineRule="auto"/>
        <w:jc w:val="both"/>
        <w:rPr>
          <w:lang w:val="en-US"/>
        </w:rPr>
      </w:pPr>
      <w:r w:rsidRPr="00C16E3A">
        <w:rPr>
          <w:b/>
          <w:lang w:val="en-US"/>
        </w:rPr>
        <w:t xml:space="preserve">Figure </w:t>
      </w:r>
      <w:r>
        <w:rPr>
          <w:b/>
          <w:lang w:val="en-US"/>
        </w:rPr>
        <w:t>9</w:t>
      </w:r>
      <w:r w:rsidRPr="00C16E3A">
        <w:rPr>
          <w:b/>
          <w:lang w:val="en-US"/>
        </w:rPr>
        <w:t xml:space="preserve">: </w:t>
      </w:r>
      <w:r w:rsidRPr="00D16A2F">
        <w:rPr>
          <w:b/>
          <w:lang w:val="en-US"/>
        </w:rPr>
        <w:t>Knowing communities and foresight for resilience</w:t>
      </w:r>
    </w:p>
    <w:p w:rsidR="00D16A2F" w:rsidRPr="00D16A2F" w:rsidRDefault="00D16A2F" w:rsidP="00FF3E75">
      <w:pPr>
        <w:spacing w:line="360" w:lineRule="auto"/>
      </w:pPr>
      <w:r w:rsidRPr="00D16A2F">
        <w:rPr>
          <w:noProof/>
        </w:rPr>
        <w:drawing>
          <wp:inline distT="0" distB="0" distL="0" distR="0">
            <wp:extent cx="5118200" cy="3408680"/>
            <wp:effectExtent l="0" t="0" r="635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2255" cy="3411381"/>
                    </a:xfrm>
                    <a:prstGeom prst="rect">
                      <a:avLst/>
                    </a:prstGeom>
                    <a:noFill/>
                    <a:ln>
                      <a:noFill/>
                    </a:ln>
                  </pic:spPr>
                </pic:pic>
              </a:graphicData>
            </a:graphic>
          </wp:inline>
        </w:drawing>
      </w:r>
    </w:p>
    <w:p w:rsidR="00136D05" w:rsidRDefault="00136D05" w:rsidP="00FF3E75">
      <w:pPr>
        <w:spacing w:line="360" w:lineRule="auto"/>
      </w:pPr>
    </w:p>
    <w:p w:rsidR="00136D05" w:rsidRPr="006F3E66" w:rsidRDefault="005B24D2" w:rsidP="00FF3E75">
      <w:pPr>
        <w:spacing w:before="240" w:after="240" w:line="360" w:lineRule="auto"/>
        <w:jc w:val="both"/>
        <w:rPr>
          <w:lang w:val="en-US"/>
        </w:rPr>
      </w:pPr>
      <w:r w:rsidRPr="006F3E66">
        <w:rPr>
          <w:lang w:val="en-US"/>
        </w:rPr>
        <w:t>The idea is that foresight methodologies, such as scenario building and narratives, can help communities imagine possible futures, uncover vulnerabilities, and identify resources. Such tools foster collective imagination, emotional connection, a</w:t>
      </w:r>
      <w:r w:rsidRPr="006F3E66">
        <w:rPr>
          <w:lang w:val="en-US"/>
        </w:rPr>
        <w:t>nd deeper engagement, turning uncertainty into a catalyst for creativity and action.</w:t>
      </w:r>
    </w:p>
    <w:p w:rsidR="00136D05" w:rsidRPr="006F3E66" w:rsidRDefault="005B24D2" w:rsidP="00FF3E75">
      <w:pPr>
        <w:spacing w:before="240" w:after="240" w:line="360" w:lineRule="auto"/>
        <w:jc w:val="both"/>
        <w:rPr>
          <w:lang w:val="en-US"/>
        </w:rPr>
      </w:pPr>
      <w:r w:rsidRPr="006F3E66">
        <w:rPr>
          <w:lang w:val="en-US"/>
        </w:rPr>
        <w:t>To integrate foresight tools effectively, organizations must first understand what foresight entails and clarify their objectives and values. Customizing foresight activit</w:t>
      </w:r>
      <w:r w:rsidRPr="006F3E66">
        <w:rPr>
          <w:lang w:val="en-US"/>
        </w:rPr>
        <w:t xml:space="preserve">ies to the </w:t>
      </w:r>
      <w:r w:rsidRPr="006F3E66">
        <w:rPr>
          <w:lang w:val="en-US"/>
        </w:rPr>
        <w:lastRenderedPageBreak/>
        <w:t>community's needs and ensuring participants exchange knowledge post-event can strengthen community resilience. Understanding the emotional links and motivations within the community is crucial for successful foresight integration.</w:t>
      </w:r>
      <w:r w:rsidRPr="006F3E66">
        <w:rPr>
          <w:lang w:val="en-US"/>
        </w:rPr>
        <w:br/>
        <w:t xml:space="preserve">The next step </w:t>
      </w:r>
      <w:r w:rsidRPr="006F3E66">
        <w:rPr>
          <w:lang w:val="en-US"/>
        </w:rPr>
        <w:t>is now to determine how to better integrate foresight to reinforce communities and enhance their ability to anticipate and better cope with future crises.</w:t>
      </w:r>
    </w:p>
    <w:p w:rsidR="00136D05" w:rsidRPr="006F3E66" w:rsidRDefault="00136D05" w:rsidP="00FF3E75">
      <w:pPr>
        <w:spacing w:line="360" w:lineRule="auto"/>
        <w:jc w:val="both"/>
        <w:rPr>
          <w:lang w:val="en-US"/>
        </w:rPr>
      </w:pPr>
    </w:p>
    <w:p w:rsidR="00136D05" w:rsidRPr="000F646F" w:rsidRDefault="005B24D2" w:rsidP="00FF3E75">
      <w:pPr>
        <w:spacing w:line="360" w:lineRule="auto"/>
        <w:jc w:val="both"/>
        <w:rPr>
          <w:b/>
          <w:lang w:val="en-US"/>
        </w:rPr>
      </w:pPr>
      <w:r w:rsidRPr="000F646F">
        <w:rPr>
          <w:b/>
          <w:lang w:val="en-US"/>
        </w:rPr>
        <w:t>Notes from the discussion</w:t>
      </w:r>
      <w:r w:rsidR="00D16A2F" w:rsidRPr="000F646F">
        <w:rPr>
          <w:b/>
          <w:lang w:val="en-US"/>
        </w:rPr>
        <w:t>:</w:t>
      </w:r>
      <w:r w:rsidRPr="000F646F">
        <w:rPr>
          <w:b/>
          <w:lang w:val="en-US"/>
        </w:rPr>
        <w:t xml:space="preserve"> </w:t>
      </w:r>
    </w:p>
    <w:p w:rsidR="000F646F" w:rsidRPr="000F646F" w:rsidRDefault="000F646F" w:rsidP="00FF3E75">
      <w:pPr>
        <w:pStyle w:val="Listenabsatz"/>
        <w:numPr>
          <w:ilvl w:val="0"/>
          <w:numId w:val="17"/>
        </w:numPr>
        <w:spacing w:line="360" w:lineRule="auto"/>
        <w:jc w:val="both"/>
        <w:rPr>
          <w:rFonts w:eastAsia="Calibri"/>
          <w:lang w:val="en-US"/>
        </w:rPr>
      </w:pPr>
      <w:r w:rsidRPr="000F646F">
        <w:rPr>
          <w:rFonts w:eastAsia="Calibri"/>
          <w:lang w:val="en-US"/>
        </w:rPr>
        <w:t>Presentation of knowing communities (shared interests, adaptability, informal exchange, collective expertise, cross-boundary collaboration) -&gt; How can we use foresight to strengthen the resilience of such communities?</w:t>
      </w:r>
    </w:p>
    <w:p w:rsidR="000F646F" w:rsidRPr="000F646F" w:rsidRDefault="000F646F" w:rsidP="00FF3E75">
      <w:pPr>
        <w:pStyle w:val="Listenabsatz"/>
        <w:numPr>
          <w:ilvl w:val="0"/>
          <w:numId w:val="17"/>
        </w:numPr>
        <w:spacing w:line="360" w:lineRule="auto"/>
        <w:jc w:val="both"/>
        <w:rPr>
          <w:rFonts w:eastAsia="Calibri"/>
          <w:lang w:val="en-US"/>
        </w:rPr>
      </w:pPr>
      <w:r w:rsidRPr="000F646F">
        <w:rPr>
          <w:rFonts w:eastAsia="Calibri"/>
          <w:lang w:val="en-US"/>
        </w:rPr>
        <w:t xml:space="preserve">At first, </w:t>
      </w:r>
      <w:proofErr w:type="spellStart"/>
      <w:r w:rsidRPr="000F646F">
        <w:rPr>
          <w:rFonts w:eastAsia="Calibri"/>
          <w:lang w:val="en-US"/>
        </w:rPr>
        <w:t>organisation</w:t>
      </w:r>
      <w:r>
        <w:rPr>
          <w:rFonts w:eastAsia="Calibri"/>
          <w:lang w:val="en-US"/>
        </w:rPr>
        <w:t>s</w:t>
      </w:r>
      <w:proofErr w:type="spellEnd"/>
      <w:r w:rsidRPr="000F646F">
        <w:rPr>
          <w:rFonts w:eastAsia="Calibri"/>
          <w:lang w:val="en-US"/>
        </w:rPr>
        <w:t xml:space="preserve"> need to know that foresight exists and what it means for them</w:t>
      </w:r>
    </w:p>
    <w:p w:rsidR="000F646F" w:rsidRPr="000F646F" w:rsidRDefault="000F646F" w:rsidP="00FF3E75">
      <w:pPr>
        <w:pStyle w:val="Listenabsatz"/>
        <w:numPr>
          <w:ilvl w:val="0"/>
          <w:numId w:val="17"/>
        </w:numPr>
        <w:spacing w:line="360" w:lineRule="auto"/>
        <w:jc w:val="both"/>
        <w:rPr>
          <w:rFonts w:eastAsia="Calibri"/>
          <w:lang w:val="en-US"/>
        </w:rPr>
      </w:pPr>
      <w:r w:rsidRPr="000F646F">
        <w:rPr>
          <w:rFonts w:eastAsia="Calibri"/>
          <w:lang w:val="en-US"/>
        </w:rPr>
        <w:t>Clarify objectives and values (Why is the community existing? What is the glue that holds it together?) of the respective community and elaborate why they need foresight methods; additionally, we should customize foresight activities to the community concerned</w:t>
      </w:r>
    </w:p>
    <w:p w:rsidR="000F646F" w:rsidRPr="000F646F" w:rsidRDefault="000F646F" w:rsidP="00FF3E75">
      <w:pPr>
        <w:pStyle w:val="Listenabsatz"/>
        <w:numPr>
          <w:ilvl w:val="0"/>
          <w:numId w:val="17"/>
        </w:numPr>
        <w:spacing w:line="360" w:lineRule="auto"/>
        <w:jc w:val="both"/>
        <w:rPr>
          <w:rFonts w:eastAsia="Calibri"/>
          <w:lang w:val="en-US"/>
        </w:rPr>
      </w:pPr>
      <w:r w:rsidRPr="000F646F">
        <w:rPr>
          <w:rFonts w:eastAsia="Calibri"/>
          <w:lang w:val="en-US"/>
        </w:rPr>
        <w:t xml:space="preserve">Motivation to use foresight tools, does the community have to have a specific intrinsic motivation? </w:t>
      </w:r>
    </w:p>
    <w:p w:rsidR="000F646F" w:rsidRPr="000F646F" w:rsidRDefault="000F646F" w:rsidP="00FF3E75">
      <w:pPr>
        <w:pStyle w:val="Listenabsatz"/>
        <w:numPr>
          <w:ilvl w:val="0"/>
          <w:numId w:val="17"/>
        </w:numPr>
        <w:spacing w:line="360" w:lineRule="auto"/>
        <w:jc w:val="both"/>
        <w:rPr>
          <w:rFonts w:eastAsia="Calibri"/>
          <w:lang w:val="en-US"/>
        </w:rPr>
      </w:pPr>
      <w:r w:rsidRPr="000F646F">
        <w:rPr>
          <w:rFonts w:eastAsia="Calibri"/>
          <w:lang w:val="en-US"/>
        </w:rPr>
        <w:t xml:space="preserve">Organizations need to know that foresight exists.   In certain cases, what the community might need something else than foresight </w:t>
      </w:r>
    </w:p>
    <w:p w:rsidR="000F646F" w:rsidRPr="000F646F" w:rsidRDefault="000F646F" w:rsidP="00FF3E75">
      <w:pPr>
        <w:pStyle w:val="Listenabsatz"/>
        <w:numPr>
          <w:ilvl w:val="0"/>
          <w:numId w:val="17"/>
        </w:numPr>
        <w:spacing w:line="360" w:lineRule="auto"/>
        <w:jc w:val="both"/>
        <w:rPr>
          <w:rFonts w:eastAsia="Calibri"/>
          <w:lang w:val="en-US"/>
        </w:rPr>
      </w:pPr>
      <w:r w:rsidRPr="000F646F">
        <w:rPr>
          <w:rFonts w:eastAsia="Calibri"/>
          <w:lang w:val="en-US"/>
        </w:rPr>
        <w:t xml:space="preserve">Foresight can allow for changing representations -&gt; See if there is a change before and after a foresight exercise? </w:t>
      </w:r>
    </w:p>
    <w:p w:rsidR="000F646F" w:rsidRPr="000F646F" w:rsidRDefault="000F646F" w:rsidP="00FF3E75">
      <w:pPr>
        <w:pStyle w:val="Listenabsatz"/>
        <w:numPr>
          <w:ilvl w:val="0"/>
          <w:numId w:val="17"/>
        </w:numPr>
        <w:spacing w:line="360" w:lineRule="auto"/>
        <w:jc w:val="both"/>
        <w:rPr>
          <w:rFonts w:eastAsia="Calibri"/>
          <w:lang w:val="en-US"/>
        </w:rPr>
      </w:pPr>
      <w:r w:rsidRPr="000F646F">
        <w:rPr>
          <w:rFonts w:eastAsia="Calibri"/>
          <w:lang w:val="en-US"/>
        </w:rPr>
        <w:t xml:space="preserve">Gathering participants after an event to bring them to exchange to allow the common knowledge they shared to be developed, otherwise if they don’t know each other, the community will basically disappear. </w:t>
      </w:r>
    </w:p>
    <w:p w:rsidR="000F646F" w:rsidRPr="000F646F" w:rsidRDefault="000F646F" w:rsidP="00FF3E75">
      <w:pPr>
        <w:pStyle w:val="Listenabsatz"/>
        <w:numPr>
          <w:ilvl w:val="0"/>
          <w:numId w:val="17"/>
        </w:numPr>
        <w:spacing w:line="360" w:lineRule="auto"/>
        <w:jc w:val="both"/>
        <w:rPr>
          <w:rFonts w:eastAsia="Calibri"/>
          <w:lang w:val="en-US"/>
        </w:rPr>
      </w:pPr>
      <w:r w:rsidRPr="000F646F">
        <w:rPr>
          <w:rFonts w:eastAsia="Calibri"/>
          <w:lang w:val="en-US"/>
        </w:rPr>
        <w:t xml:space="preserve">Defining what they share, the emotional link there is between individuals. Having a clear baseline, why are individuals attached to the community? </w:t>
      </w:r>
    </w:p>
    <w:p w:rsidR="00D16A2F" w:rsidRPr="000F646F" w:rsidRDefault="000F646F" w:rsidP="00FF3E75">
      <w:pPr>
        <w:pStyle w:val="Listenabsatz"/>
        <w:numPr>
          <w:ilvl w:val="0"/>
          <w:numId w:val="17"/>
        </w:numPr>
        <w:spacing w:line="360" w:lineRule="auto"/>
        <w:jc w:val="both"/>
        <w:rPr>
          <w:rFonts w:eastAsia="Calibri"/>
          <w:lang w:val="en-US"/>
        </w:rPr>
      </w:pPr>
      <w:r w:rsidRPr="000F646F">
        <w:rPr>
          <w:rFonts w:eastAsia="Calibri"/>
          <w:lang w:val="en-US"/>
        </w:rPr>
        <w:t>Time travel increases creativity</w:t>
      </w:r>
      <w:r w:rsidR="00381440">
        <w:rPr>
          <w:rFonts w:eastAsia="Calibri"/>
          <w:lang w:val="en-US"/>
        </w:rPr>
        <w:t>.</w:t>
      </w:r>
    </w:p>
    <w:p w:rsidR="00136D05" w:rsidRDefault="00136D05" w:rsidP="00FF3E75">
      <w:pPr>
        <w:spacing w:line="360" w:lineRule="auto"/>
      </w:pPr>
    </w:p>
    <w:p w:rsidR="00D16A2F" w:rsidRPr="00D16A2F" w:rsidRDefault="005B24D2" w:rsidP="00FF3E75">
      <w:pPr>
        <w:spacing w:line="360" w:lineRule="auto"/>
        <w:rPr>
          <w:b/>
        </w:rPr>
      </w:pPr>
      <w:r w:rsidRPr="00D16A2F">
        <w:rPr>
          <w:b/>
        </w:rPr>
        <w:t xml:space="preserve">References </w:t>
      </w:r>
    </w:p>
    <w:p w:rsidR="00D16A2F" w:rsidRPr="006F3E66" w:rsidRDefault="00D16A2F" w:rsidP="00FF3E75">
      <w:pPr>
        <w:spacing w:line="360" w:lineRule="auto"/>
        <w:rPr>
          <w:lang w:val="en-US"/>
        </w:rPr>
      </w:pPr>
      <w:proofErr w:type="spellStart"/>
      <w:r w:rsidRPr="006F3E66">
        <w:rPr>
          <w:lang w:val="en-US"/>
        </w:rPr>
        <w:t>Bourmistrov</w:t>
      </w:r>
      <w:proofErr w:type="spellEnd"/>
      <w:r w:rsidRPr="006F3E66">
        <w:rPr>
          <w:lang w:val="en-US"/>
        </w:rPr>
        <w:t xml:space="preserve">, A. &amp; </w:t>
      </w:r>
      <w:proofErr w:type="spellStart"/>
      <w:r w:rsidRPr="006F3E66">
        <w:rPr>
          <w:lang w:val="en-US"/>
        </w:rPr>
        <w:t>Åmo</w:t>
      </w:r>
      <w:proofErr w:type="spellEnd"/>
      <w:r w:rsidRPr="006F3E66">
        <w:rPr>
          <w:lang w:val="en-US"/>
        </w:rPr>
        <w:t xml:space="preserve">, B (2022). Creativity, proactivity, and foresight. Technological Forecasting and Social Change. 174. 121215. 10.1016/j.techfore.2021.121215. </w:t>
      </w:r>
    </w:p>
    <w:p w:rsidR="00136D05" w:rsidRPr="006F3E66" w:rsidRDefault="005B24D2" w:rsidP="00FF3E75">
      <w:pPr>
        <w:spacing w:line="360" w:lineRule="auto"/>
        <w:rPr>
          <w:lang w:val="en-US"/>
        </w:rPr>
      </w:pPr>
      <w:r w:rsidRPr="006F3E66">
        <w:rPr>
          <w:lang w:val="en-US"/>
        </w:rPr>
        <w:lastRenderedPageBreak/>
        <w:t xml:space="preserve">Harvey, J-F. &amp; </w:t>
      </w:r>
      <w:proofErr w:type="spellStart"/>
      <w:r w:rsidRPr="006F3E66">
        <w:rPr>
          <w:lang w:val="en-US"/>
        </w:rPr>
        <w:t>Cohendet</w:t>
      </w:r>
      <w:proofErr w:type="spellEnd"/>
      <w:r w:rsidRPr="006F3E66">
        <w:rPr>
          <w:lang w:val="en-US"/>
        </w:rPr>
        <w:t xml:space="preserve">, P. &amp; Simon, L. &amp; </w:t>
      </w:r>
      <w:proofErr w:type="spellStart"/>
      <w:r w:rsidRPr="006F3E66">
        <w:rPr>
          <w:lang w:val="en-US"/>
        </w:rPr>
        <w:t>Borzillo</w:t>
      </w:r>
      <w:proofErr w:type="spellEnd"/>
      <w:r w:rsidRPr="006F3E66">
        <w:rPr>
          <w:lang w:val="en-US"/>
        </w:rPr>
        <w:t xml:space="preserve">, S </w:t>
      </w:r>
      <w:r w:rsidRPr="006F3E66">
        <w:rPr>
          <w:lang w:val="en-US"/>
        </w:rPr>
        <w:t xml:space="preserve">(2015). Knowing Communities in the Front End of Innovation. Research-Technology Management. 58. 10.5437/08956308X5801198. </w:t>
      </w:r>
    </w:p>
    <w:p w:rsidR="00136D05" w:rsidRPr="006F3E66" w:rsidRDefault="005B24D2" w:rsidP="00FF3E75">
      <w:pPr>
        <w:spacing w:line="360" w:lineRule="auto"/>
        <w:rPr>
          <w:lang w:val="en-US"/>
        </w:rPr>
      </w:pPr>
      <w:r w:rsidRPr="006F3E66">
        <w:rPr>
          <w:lang w:val="en-US"/>
        </w:rPr>
        <w:t>Schwartz, Peter, The Art of the Long View, Path to Strategic Insights for Yourself and Your Company (1991)</w:t>
      </w:r>
    </w:p>
    <w:p w:rsidR="00136D05" w:rsidRPr="00BA09CD" w:rsidRDefault="005B24D2" w:rsidP="00FF3E75">
      <w:pPr>
        <w:pStyle w:val="berschrift1"/>
        <w:spacing w:line="360" w:lineRule="auto"/>
        <w:rPr>
          <w:b/>
          <w:sz w:val="28"/>
          <w:szCs w:val="28"/>
          <w:lang w:val="en-US"/>
        </w:rPr>
      </w:pPr>
      <w:bookmarkStart w:id="15" w:name="_8mu55fallgtp" w:colFirst="0" w:colLast="0"/>
      <w:bookmarkEnd w:id="15"/>
      <w:r w:rsidRPr="00BA09CD">
        <w:rPr>
          <w:b/>
          <w:sz w:val="28"/>
          <w:szCs w:val="28"/>
          <w:lang w:val="en-US"/>
        </w:rPr>
        <w:t xml:space="preserve">9. What’s next? </w:t>
      </w:r>
    </w:p>
    <w:p w:rsidR="000F646F" w:rsidRDefault="000F646F" w:rsidP="00FF3E75">
      <w:pPr>
        <w:spacing w:line="360" w:lineRule="auto"/>
        <w:rPr>
          <w:lang w:val="en-US"/>
        </w:rPr>
      </w:pPr>
    </w:p>
    <w:p w:rsidR="000F646F" w:rsidRPr="000F646F" w:rsidRDefault="000F646F" w:rsidP="00FF3E75">
      <w:pPr>
        <w:spacing w:line="360" w:lineRule="auto"/>
        <w:rPr>
          <w:b/>
          <w:lang w:val="en-US"/>
        </w:rPr>
      </w:pPr>
      <w:r w:rsidRPr="000F646F">
        <w:rPr>
          <w:b/>
          <w:lang w:val="en-US"/>
        </w:rPr>
        <w:t xml:space="preserve">Figure </w:t>
      </w:r>
      <w:proofErr w:type="gramStart"/>
      <w:r w:rsidRPr="000F646F">
        <w:rPr>
          <w:b/>
          <w:lang w:val="en-US"/>
        </w:rPr>
        <w:t>10 :</w:t>
      </w:r>
      <w:proofErr w:type="gramEnd"/>
      <w:r w:rsidRPr="000F646F">
        <w:rPr>
          <w:b/>
          <w:lang w:val="en-US"/>
        </w:rPr>
        <w:t xml:space="preserve"> Vincent’s depiction of deep resilience as a process</w:t>
      </w:r>
    </w:p>
    <w:p w:rsidR="000F646F" w:rsidRDefault="000F646F" w:rsidP="00FF3E75">
      <w:pPr>
        <w:spacing w:line="360" w:lineRule="auto"/>
        <w:rPr>
          <w:lang w:val="en-US"/>
        </w:rPr>
      </w:pPr>
    </w:p>
    <w:p w:rsidR="00B00804" w:rsidRDefault="000F646F" w:rsidP="00FF3E75">
      <w:pPr>
        <w:spacing w:line="360" w:lineRule="auto"/>
        <w:rPr>
          <w:lang w:val="en-US"/>
        </w:rPr>
      </w:pPr>
      <w:r w:rsidRPr="000F646F">
        <w:rPr>
          <w:noProof/>
          <w:lang w:val="en-US"/>
        </w:rPr>
        <w:drawing>
          <wp:inline distT="0" distB="0" distL="0" distR="0">
            <wp:extent cx="5914901" cy="402463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8838" cy="4027309"/>
                    </a:xfrm>
                    <a:prstGeom prst="rect">
                      <a:avLst/>
                    </a:prstGeom>
                    <a:noFill/>
                    <a:ln>
                      <a:noFill/>
                    </a:ln>
                  </pic:spPr>
                </pic:pic>
              </a:graphicData>
            </a:graphic>
          </wp:inline>
        </w:drawing>
      </w:r>
    </w:p>
    <w:p w:rsidR="000F646F" w:rsidRDefault="005B24D2" w:rsidP="00FF3E75">
      <w:pPr>
        <w:spacing w:line="360" w:lineRule="auto"/>
        <w:rPr>
          <w:lang w:val="en-US"/>
        </w:rPr>
      </w:pPr>
      <w:r w:rsidRPr="006F3E66">
        <w:rPr>
          <w:lang w:val="en-US"/>
        </w:rPr>
        <w:t>T</w:t>
      </w:r>
      <w:r w:rsidRPr="006F3E66">
        <w:rPr>
          <w:lang w:val="en-US"/>
        </w:rPr>
        <w:t xml:space="preserve">he proposition about </w:t>
      </w:r>
      <w:r w:rsidR="000F646F" w:rsidRPr="006F3E66">
        <w:rPr>
          <w:lang w:val="en-US"/>
        </w:rPr>
        <w:t>organizing</w:t>
      </w:r>
      <w:r w:rsidRPr="006F3E66">
        <w:rPr>
          <w:lang w:val="en-US"/>
        </w:rPr>
        <w:t xml:space="preserve"> this kind of workshop once a year was raised</w:t>
      </w:r>
      <w:r w:rsidR="000F646F">
        <w:rPr>
          <w:lang w:val="en-US"/>
        </w:rPr>
        <w:t xml:space="preserve">. </w:t>
      </w:r>
    </w:p>
    <w:p w:rsidR="00136D05" w:rsidRPr="00B00804" w:rsidRDefault="000F646F" w:rsidP="00FF3E75">
      <w:pPr>
        <w:spacing w:line="360" w:lineRule="auto"/>
        <w:rPr>
          <w:b/>
          <w:lang w:val="en-US"/>
        </w:rPr>
      </w:pPr>
      <w:r w:rsidRPr="00B00804">
        <w:rPr>
          <w:b/>
          <w:lang w:val="en-US"/>
        </w:rPr>
        <w:t xml:space="preserve">Next meeting </w:t>
      </w:r>
      <w:r w:rsidR="00381440" w:rsidRPr="00B00804">
        <w:rPr>
          <w:b/>
          <w:lang w:val="en-US"/>
        </w:rPr>
        <w:t xml:space="preserve">to be held </w:t>
      </w:r>
      <w:r w:rsidRPr="00B00804">
        <w:rPr>
          <w:b/>
          <w:lang w:val="en-US"/>
        </w:rPr>
        <w:t>in Strasbourg</w:t>
      </w:r>
      <w:r w:rsidR="00B00804" w:rsidRPr="00B00804">
        <w:rPr>
          <w:b/>
          <w:lang w:val="en-US"/>
        </w:rPr>
        <w:t xml:space="preserve"> on </w:t>
      </w:r>
      <w:r w:rsidR="00381440" w:rsidRPr="00B00804">
        <w:rPr>
          <w:b/>
          <w:lang w:val="en-US"/>
        </w:rPr>
        <w:t>Thursday the 5</w:t>
      </w:r>
      <w:r w:rsidR="00381440" w:rsidRPr="00B00804">
        <w:rPr>
          <w:b/>
          <w:vertAlign w:val="superscript"/>
          <w:lang w:val="en-US"/>
        </w:rPr>
        <w:t>th</w:t>
      </w:r>
      <w:r w:rsidR="00381440" w:rsidRPr="00B00804">
        <w:rPr>
          <w:b/>
          <w:lang w:val="en-US"/>
        </w:rPr>
        <w:t xml:space="preserve"> of February</w:t>
      </w:r>
      <w:r w:rsidR="00B00804" w:rsidRPr="00B00804">
        <w:rPr>
          <w:b/>
          <w:lang w:val="en-US"/>
        </w:rPr>
        <w:t xml:space="preserve"> 2026</w:t>
      </w:r>
      <w:r w:rsidR="00381440" w:rsidRPr="00B00804">
        <w:rPr>
          <w:b/>
          <w:lang w:val="en-US"/>
        </w:rPr>
        <w:t xml:space="preserve">? </w:t>
      </w:r>
    </w:p>
    <w:sectPr w:rsidR="00136D05" w:rsidRPr="00B00804" w:rsidSect="009918BD">
      <w:headerReference w:type="default" r:id="rId34"/>
      <w:footerReference w:type="default" r:id="rId35"/>
      <w:pgSz w:w="11909" w:h="16834"/>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24D2" w:rsidRDefault="005B24D2">
      <w:pPr>
        <w:spacing w:line="240" w:lineRule="auto"/>
      </w:pPr>
      <w:r>
        <w:separator/>
      </w:r>
    </w:p>
  </w:endnote>
  <w:endnote w:type="continuationSeparator" w:id="0">
    <w:p w:rsidR="005B24D2" w:rsidRDefault="005B24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D05" w:rsidRDefault="005B24D2">
    <w:pPr>
      <w:jc w:val="center"/>
    </w:pPr>
    <w:r>
      <w:fldChar w:fldCharType="begin"/>
    </w:r>
    <w:r>
      <w:instrText>PAGE</w:instrText>
    </w:r>
    <w:r w:rsidR="006F3E66">
      <w:fldChar w:fldCharType="separate"/>
    </w:r>
    <w:r w:rsidR="006F3E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24D2" w:rsidRDefault="005B24D2">
      <w:pPr>
        <w:spacing w:line="240" w:lineRule="auto"/>
      </w:pPr>
      <w:r>
        <w:separator/>
      </w:r>
    </w:p>
  </w:footnote>
  <w:footnote w:type="continuationSeparator" w:id="0">
    <w:p w:rsidR="005B24D2" w:rsidRDefault="005B24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D05" w:rsidRDefault="005B24D2">
    <w:pPr>
      <w:spacing w:line="240" w:lineRule="auto"/>
      <w:jc w:val="center"/>
    </w:pPr>
    <w:r>
      <w:rPr>
        <w:noProof/>
      </w:rPr>
      <w:drawing>
        <wp:anchor distT="114300" distB="114300" distL="114300" distR="114300" simplePos="0" relativeHeight="251658240" behindDoc="0" locked="0" layoutInCell="1" hidden="0" allowOverlap="1">
          <wp:simplePos x="0" y="0"/>
          <wp:positionH relativeFrom="column">
            <wp:posOffset>-915824</wp:posOffset>
          </wp:positionH>
          <wp:positionV relativeFrom="paragraph">
            <wp:posOffset>-342899</wp:posOffset>
          </wp:positionV>
          <wp:extent cx="7558088" cy="1066800"/>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558088" cy="106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C5E1A"/>
    <w:multiLevelType w:val="multilevel"/>
    <w:tmpl w:val="BA1AF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112125"/>
    <w:multiLevelType w:val="multilevel"/>
    <w:tmpl w:val="8E666C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35F4E45"/>
    <w:multiLevelType w:val="multilevel"/>
    <w:tmpl w:val="EBB411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D17A89"/>
    <w:multiLevelType w:val="multilevel"/>
    <w:tmpl w:val="6278F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7C63D8"/>
    <w:multiLevelType w:val="multilevel"/>
    <w:tmpl w:val="65A034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E1A6977"/>
    <w:multiLevelType w:val="hybridMultilevel"/>
    <w:tmpl w:val="C8A87A24"/>
    <w:lvl w:ilvl="0" w:tplc="0407000F">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38650BC"/>
    <w:multiLevelType w:val="multilevel"/>
    <w:tmpl w:val="E798525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456F7255"/>
    <w:multiLevelType w:val="multilevel"/>
    <w:tmpl w:val="CF740E6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7525FE"/>
    <w:multiLevelType w:val="hybridMultilevel"/>
    <w:tmpl w:val="868E84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8E072CF"/>
    <w:multiLevelType w:val="multilevel"/>
    <w:tmpl w:val="78F263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8173472"/>
    <w:multiLevelType w:val="multilevel"/>
    <w:tmpl w:val="75EED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D41263"/>
    <w:multiLevelType w:val="hybridMultilevel"/>
    <w:tmpl w:val="3B1C2140"/>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A9664E3"/>
    <w:multiLevelType w:val="multilevel"/>
    <w:tmpl w:val="49280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357184"/>
    <w:multiLevelType w:val="hybridMultilevel"/>
    <w:tmpl w:val="9EF83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714479F"/>
    <w:multiLevelType w:val="hybridMultilevel"/>
    <w:tmpl w:val="CCF207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7352425"/>
    <w:multiLevelType w:val="multilevel"/>
    <w:tmpl w:val="BA1442B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4E348D"/>
    <w:multiLevelType w:val="multilevel"/>
    <w:tmpl w:val="AB8EFC6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C8D3345"/>
    <w:multiLevelType w:val="multilevel"/>
    <w:tmpl w:val="14F691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BA79A5"/>
    <w:multiLevelType w:val="multilevel"/>
    <w:tmpl w:val="FE92F3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2FA1EA3"/>
    <w:multiLevelType w:val="multilevel"/>
    <w:tmpl w:val="133EA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4B522D"/>
    <w:multiLevelType w:val="multilevel"/>
    <w:tmpl w:val="C37CEB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0"/>
  </w:num>
  <w:num w:numId="3">
    <w:abstractNumId w:val="6"/>
  </w:num>
  <w:num w:numId="4">
    <w:abstractNumId w:val="4"/>
  </w:num>
  <w:num w:numId="5">
    <w:abstractNumId w:val="2"/>
  </w:num>
  <w:num w:numId="6">
    <w:abstractNumId w:val="17"/>
  </w:num>
  <w:num w:numId="7">
    <w:abstractNumId w:val="1"/>
  </w:num>
  <w:num w:numId="8">
    <w:abstractNumId w:val="12"/>
  </w:num>
  <w:num w:numId="9">
    <w:abstractNumId w:val="19"/>
  </w:num>
  <w:num w:numId="10">
    <w:abstractNumId w:val="18"/>
  </w:num>
  <w:num w:numId="11">
    <w:abstractNumId w:val="3"/>
  </w:num>
  <w:num w:numId="12">
    <w:abstractNumId w:val="16"/>
  </w:num>
  <w:num w:numId="13">
    <w:abstractNumId w:val="7"/>
  </w:num>
  <w:num w:numId="14">
    <w:abstractNumId w:val="15"/>
  </w:num>
  <w:num w:numId="15">
    <w:abstractNumId w:val="20"/>
  </w:num>
  <w:num w:numId="16">
    <w:abstractNumId w:val="9"/>
  </w:num>
  <w:num w:numId="17">
    <w:abstractNumId w:val="8"/>
  </w:num>
  <w:num w:numId="18">
    <w:abstractNumId w:val="13"/>
  </w:num>
  <w:num w:numId="19">
    <w:abstractNumId w:val="14"/>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D05"/>
    <w:rsid w:val="000F646F"/>
    <w:rsid w:val="00136D05"/>
    <w:rsid w:val="00301D40"/>
    <w:rsid w:val="00381440"/>
    <w:rsid w:val="005B24D2"/>
    <w:rsid w:val="006F3E66"/>
    <w:rsid w:val="009918BD"/>
    <w:rsid w:val="00A02088"/>
    <w:rsid w:val="00B00804"/>
    <w:rsid w:val="00BA09CD"/>
    <w:rsid w:val="00C16E3A"/>
    <w:rsid w:val="00C73743"/>
    <w:rsid w:val="00D16A2F"/>
    <w:rsid w:val="00F647F0"/>
    <w:rsid w:val="00FF3E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ECBC6"/>
  <w15:docId w15:val="{A98EB3CB-B549-4ECD-9482-AC4197D3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16A2F"/>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Listenabsatz">
    <w:name w:val="List Paragraph"/>
    <w:basedOn w:val="Standard"/>
    <w:uiPriority w:val="34"/>
    <w:qFormat/>
    <w:rsid w:val="00C73743"/>
    <w:pPr>
      <w:ind w:left="720"/>
      <w:contextualSpacing/>
    </w:pPr>
  </w:style>
  <w:style w:type="character" w:styleId="Hyperlink">
    <w:name w:val="Hyperlink"/>
    <w:basedOn w:val="Absatz-Standardschriftart"/>
    <w:uiPriority w:val="99"/>
    <w:unhideWhenUsed/>
    <w:rsid w:val="00B00804"/>
    <w:rPr>
      <w:color w:val="0000FF" w:themeColor="hyperlink"/>
      <w:u w:val="single"/>
    </w:rPr>
  </w:style>
  <w:style w:type="character" w:styleId="NichtaufgelsteErwhnung">
    <w:name w:val="Unresolved Mention"/>
    <w:basedOn w:val="Absatz-Standardschriftart"/>
    <w:uiPriority w:val="99"/>
    <w:semiHidden/>
    <w:unhideWhenUsed/>
    <w:rsid w:val="00B00804"/>
    <w:rPr>
      <w:color w:val="605E5C"/>
      <w:shd w:val="clear" w:color="auto" w:fill="E1DFDD"/>
    </w:rPr>
  </w:style>
  <w:style w:type="paragraph" w:styleId="Kopfzeile">
    <w:name w:val="header"/>
    <w:basedOn w:val="Standard"/>
    <w:link w:val="KopfzeileZchn"/>
    <w:uiPriority w:val="99"/>
    <w:unhideWhenUsed/>
    <w:rsid w:val="009918B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918BD"/>
  </w:style>
  <w:style w:type="paragraph" w:styleId="Fuzeile">
    <w:name w:val="footer"/>
    <w:basedOn w:val="Standard"/>
    <w:link w:val="FuzeileZchn"/>
    <w:uiPriority w:val="99"/>
    <w:unhideWhenUsed/>
    <w:rsid w:val="009918B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91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dx.doi.org/10.1002/jsc.1968" TargetMode="External"/><Relationship Id="rId18" Type="http://schemas.openxmlformats.org/officeDocument/2006/relationships/hyperlink" Target="http://dx.doi.org/10.1093/acprof:oso/9780190257040.003.0001" TargetMode="External"/><Relationship Id="rId26" Type="http://schemas.openxmlformats.org/officeDocument/2006/relationships/hyperlink" Target="http://dx.doi.org/10.1007/978-3-031-09959-5_19" TargetMode="External"/><Relationship Id="rId21" Type="http://schemas.openxmlformats.org/officeDocument/2006/relationships/hyperlink" Target="https://www.youtube.com/shorts/rpCfG5GIwHQ" TargetMode="External"/><Relationship Id="rId34"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hyperlink" Target="https://doi.org/10.1037/h0092976" TargetMode="External"/><Relationship Id="rId17" Type="http://schemas.openxmlformats.org/officeDocument/2006/relationships/hyperlink" Target="https://doi.org/10.1108/14636680810855991" TargetMode="External"/><Relationship Id="rId25" Type="http://schemas.openxmlformats.org/officeDocument/2006/relationships/hyperlink" Target="http://dx.doi.org/10.1007/978-981-19-2080-6_74" TargetMode="External"/><Relationship Id="rId33"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yperlink" Target="https://doi.org/10.1007/s10339-023-01124-6" TargetMode="External"/><Relationship Id="rId20" Type="http://schemas.openxmlformats.org/officeDocument/2006/relationships/image" Target="media/image5.png"/><Relationship Id="rId29" Type="http://schemas.openxmlformats.org/officeDocument/2006/relationships/hyperlink" Target="https://doi.org/10.1016/j.simpat.2024.1029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isaga.com/wp-content/uploads/2023/07/back-to-the-future-of-gaming-DRUCK.pdf-" TargetMode="External"/><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0339-023-01124-6" TargetMode="External"/><Relationship Id="rId23" Type="http://schemas.openxmlformats.org/officeDocument/2006/relationships/hyperlink" Target="https://hal.science/hal-03661695/document" TargetMode="External"/><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hyperlink" Target="https://doi.org/10.1007/s40685-019-0085-7" TargetMode="External"/><Relationship Id="rId19" Type="http://schemas.openxmlformats.org/officeDocument/2006/relationships/hyperlink" Target="https://doi.org/10.1016/S0005-7967(02)00184-5" TargetMode="External"/><Relationship Id="rId31"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oi.org/10.1016/j.futures.2014.10.006" TargetMode="External"/><Relationship Id="rId22" Type="http://schemas.openxmlformats.org/officeDocument/2006/relationships/image" Target="media/image6.png"/><Relationship Id="rId27" Type="http://schemas.openxmlformats.org/officeDocument/2006/relationships/hyperlink" Target="http://dx.doi.org/10.3166/rfg304.107-122" TargetMode="External"/><Relationship Id="rId30" Type="http://schemas.openxmlformats.org/officeDocument/2006/relationships/image" Target="media/image8.emf"/><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3731</Words>
  <Characters>23510</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Muller, Emmanuel</dc:creator>
  <cp:lastModifiedBy>Muller, Emmanuel</cp:lastModifiedBy>
  <cp:revision>5</cp:revision>
  <dcterms:created xsi:type="dcterms:W3CDTF">2025-02-13T18:56:00Z</dcterms:created>
  <dcterms:modified xsi:type="dcterms:W3CDTF">2025-02-13T19:41:00Z</dcterms:modified>
</cp:coreProperties>
</file>