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00" w:afterAutospacing="1" w:before="100" w:beforeAutospacing="1"/>
        <w:ind/>
        <w:jc w:val="both"/>
        <w:outlineLvl w:val="1"/>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Introduction Agreement No. [______]</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Date:</w:t>
      </w:r>
      <w:r>
        <w:rPr>
          <w:rFonts w:ascii="Times New Roman" w:hAnsi="Times New Roman" w:eastAsia="Times New Roman" w:cs="Times New Roman"/>
          <w:sz w:val="21"/>
          <w:szCs w:val="21"/>
          <w:lang w:val="en-US" w:eastAsia="ru-RU"/>
        </w:rPr>
        <w:t xml:space="preserve"> [DATE]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eastAsia="ru-RU"/>
        </w:rPr>
        <w:t xml:space="preserve">Parties</w:t>
      </w:r>
      <w:r>
        <w:rPr>
          <w:rFonts w:ascii="Times New Roman" w:hAnsi="Times New Roman" w:eastAsia="Times New Roman" w:cs="Times New Roman"/>
          <w:b/>
          <w:bCs/>
          <w:sz w:val="21"/>
          <w:szCs w:val="21"/>
          <w:lang w:eastAsia="ru-RU"/>
        </w:rPr>
        <w:t xml:space="preserve">:</w:t>
      </w:r>
      <w:r>
        <w:rPr>
          <w:rFonts w:ascii="Times New Roman" w:hAnsi="Times New Roman" w:eastAsia="Times New Roman" w:cs="Times New Roman"/>
          <w:sz w:val="21"/>
          <w:szCs w:val="21"/>
          <w:lang w:eastAsia="ru-RU"/>
        </w:rPr>
      </w:r>
    </w:p>
    <w:p>
      <w:pPr>
        <w:numPr>
          <w:ilvl w:val="0"/>
          <w:numId w:val="4"/>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Admex</w:t>
      </w:r>
      <w:r>
        <w:rPr>
          <w:rFonts w:ascii="Times New Roman" w:hAnsi="Times New Roman" w:eastAsia="Times New Roman" w:cs="Times New Roman"/>
          <w:b/>
          <w:bCs/>
          <w:sz w:val="21"/>
          <w:szCs w:val="21"/>
          <w:lang w:val="en-US" w:eastAsia="ru-RU"/>
        </w:rPr>
        <w:t xml:space="preserve"> Advisory Limited</w:t>
      </w:r>
      <w:r>
        <w:rPr>
          <w:rFonts w:ascii="Times New Roman" w:hAnsi="Times New Roman" w:eastAsia="Times New Roman" w:cs="Times New Roman"/>
          <w:sz w:val="21"/>
          <w:szCs w:val="21"/>
          <w:lang w:val="en-US" w:eastAsia="ru-RU"/>
        </w:rPr>
        <w:t xml:space="preserve">, a </w:t>
      </w:r>
      <w:r>
        <w:rPr>
          <w:rFonts w:ascii="Times New Roman" w:hAnsi="Times New Roman" w:eastAsia="Times New Roman" w:cs="Times New Roman"/>
          <w:sz w:val="21"/>
          <w:szCs w:val="21"/>
          <w:lang w:val="en-US" w:eastAsia="ru-RU"/>
        </w:rPr>
        <w:t xml:space="preserve">Provider</w:t>
      </w:r>
      <w:r>
        <w:rPr>
          <w:rFonts w:ascii="Times New Roman" w:hAnsi="Times New Roman" w:eastAsia="Times New Roman" w:cs="Times New Roman"/>
          <w:sz w:val="21"/>
          <w:szCs w:val="21"/>
          <w:lang w:val="en-US" w:eastAsia="ru-RU"/>
        </w:rPr>
        <w:t xml:space="preserve"> incorporated under the laws of Cyprus with registration number HE 475438 and registered office at </w:t>
      </w:r>
      <w:r>
        <w:rPr>
          <w:rFonts w:ascii="Times New Roman" w:hAnsi="Times New Roman" w:eastAsia="Times New Roman" w:cs="Times New Roman"/>
          <w:sz w:val="21"/>
          <w:szCs w:val="21"/>
          <w:lang w:val="en-US" w:eastAsia="ru-RU"/>
        </w:rPr>
        <w:t xml:space="preserve">Agias</w:t>
      </w:r>
      <w:r>
        <w:rPr>
          <w:rFonts w:ascii="Times New Roman" w:hAnsi="Times New Roman" w:eastAsia="Times New Roman" w:cs="Times New Roman"/>
          <w:sz w:val="21"/>
          <w:szCs w:val="21"/>
          <w:lang w:val="en-US" w:eastAsia="ru-RU"/>
        </w:rPr>
        <w:t xml:space="preserve"> </w:t>
      </w:r>
      <w:r>
        <w:rPr>
          <w:rFonts w:ascii="Times New Roman" w:hAnsi="Times New Roman" w:eastAsia="Times New Roman" w:cs="Times New Roman"/>
          <w:sz w:val="21"/>
          <w:szCs w:val="21"/>
          <w:lang w:val="en-US" w:eastAsia="ru-RU"/>
        </w:rPr>
        <w:t xml:space="preserve">Faneromenis</w:t>
      </w:r>
      <w:r>
        <w:rPr>
          <w:rFonts w:ascii="Times New Roman" w:hAnsi="Times New Roman" w:eastAsia="Times New Roman" w:cs="Times New Roman"/>
          <w:sz w:val="21"/>
          <w:szCs w:val="21"/>
          <w:lang w:val="en-US" w:eastAsia="ru-RU"/>
        </w:rPr>
        <w:t xml:space="preserve"> 143–145, </w:t>
      </w:r>
      <w:r>
        <w:rPr>
          <w:rFonts w:ascii="Times New Roman" w:hAnsi="Times New Roman" w:eastAsia="Times New Roman" w:cs="Times New Roman"/>
          <w:sz w:val="21"/>
          <w:szCs w:val="21"/>
          <w:lang w:val="en-US" w:eastAsia="ru-RU"/>
        </w:rPr>
        <w:t xml:space="preserve">Patsias</w:t>
      </w:r>
      <w:r>
        <w:rPr>
          <w:rFonts w:ascii="Times New Roman" w:hAnsi="Times New Roman" w:eastAsia="Times New Roman" w:cs="Times New Roman"/>
          <w:sz w:val="21"/>
          <w:szCs w:val="21"/>
          <w:lang w:val="en-US" w:eastAsia="ru-RU"/>
        </w:rPr>
        <w:t xml:space="preserve"> Court, Flat/Office 201, 6031 </w:t>
      </w:r>
      <w:r>
        <w:rPr>
          <w:rFonts w:ascii="Times New Roman" w:hAnsi="Times New Roman" w:eastAsia="Times New Roman" w:cs="Times New Roman"/>
          <w:sz w:val="21"/>
          <w:szCs w:val="21"/>
          <w:lang w:val="en-US" w:eastAsia="ru-RU"/>
        </w:rPr>
        <w:t xml:space="preserve">Larnaca</w:t>
      </w:r>
      <w:r>
        <w:rPr>
          <w:rFonts w:ascii="Times New Roman" w:hAnsi="Times New Roman" w:eastAsia="Times New Roman" w:cs="Times New Roman"/>
          <w:sz w:val="21"/>
          <w:szCs w:val="21"/>
          <w:lang w:val="en-US" w:eastAsia="ru-RU"/>
        </w:rPr>
        <w:t xml:space="preserve">, Cyprus (the "</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Introducer</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sz w:val="21"/>
          <w:szCs w:val="21"/>
          <w:lang w:val="en-US" w:eastAsia="ru-RU"/>
        </w:rPr>
        <w:t xml:space="preserve">");</w:t>
      </w:r>
      <w:r>
        <w:rPr>
          <w:rFonts w:ascii="Times New Roman" w:hAnsi="Times New Roman" w:eastAsia="Times New Roman" w:cs="Times New Roman"/>
          <w:sz w:val="21"/>
          <w:szCs w:val="21"/>
          <w:lang w:val="en-US" w:eastAsia="ru-RU"/>
        </w:rPr>
      </w:r>
    </w:p>
    <w:p>
      <w:pPr>
        <w:numPr>
          <w:ilvl w:val="0"/>
          <w:numId w:val="4"/>
        </w:num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val="en-US" w:eastAsia="ru-RU"/>
        </w:rPr>
        <w:t xml:space="preserve">[Introducer Name]</w:t>
      </w:r>
      <w:r>
        <w:rPr>
          <w:rFonts w:ascii="Times New Roman" w:hAnsi="Times New Roman" w:eastAsia="Times New Roman" w:cs="Times New Roman"/>
          <w:sz w:val="21"/>
          <w:szCs w:val="21"/>
          <w:lang w:val="en-US" w:eastAsia="ru-RU"/>
        </w:rPr>
        <w:t xml:space="preserve">, an individual with identification [Passport/ID No. </w:t>
      </w:r>
      <w:r>
        <w:rPr>
          <w:rFonts w:ascii="Times New Roman" w:hAnsi="Times New Roman" w:eastAsia="Times New Roman" w:cs="Times New Roman"/>
          <w:sz w:val="21"/>
          <w:szCs w:val="21"/>
          <w:lang w:eastAsia="ru-RU"/>
        </w:rPr>
        <w:t xml:space="preserve">______] </w:t>
      </w:r>
      <w:r>
        <w:rPr>
          <w:rFonts w:ascii="Times New Roman" w:hAnsi="Times New Roman" w:eastAsia="Times New Roman" w:cs="Times New Roman"/>
          <w:sz w:val="21"/>
          <w:szCs w:val="21"/>
          <w:lang w:eastAsia="ru-RU"/>
        </w:rPr>
        <w:t xml:space="preserve">and</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residing</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at</w:t>
      </w:r>
      <w:r>
        <w:rPr>
          <w:rFonts w:ascii="Times New Roman" w:hAnsi="Times New Roman" w:eastAsia="Times New Roman" w:cs="Times New Roman"/>
          <w:sz w:val="21"/>
          <w:szCs w:val="21"/>
          <w:lang w:eastAsia="ru-RU"/>
        </w:rPr>
        <w:t xml:space="preserve"> [Address] (</w:t>
      </w:r>
      <w:r>
        <w:rPr>
          <w:rFonts w:ascii="Times New Roman" w:hAnsi="Times New Roman" w:eastAsia="Times New Roman" w:cs="Times New Roman"/>
          <w:sz w:val="21"/>
          <w:szCs w:val="21"/>
          <w:lang w:eastAsia="ru-RU"/>
        </w:rPr>
        <w:t xml:space="preserve">the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b/>
          <w:bCs/>
          <w:sz w:val="21"/>
          <w:szCs w:val="21"/>
          <w:lang w:val="en-US" w:eastAsia="ru-RU"/>
        </w:rPr>
        <w:t xml:space="preserve"> </w:t>
      </w: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w:t>
      </w:r>
      <w:r>
        <w:rPr>
          <w:rFonts w:ascii="Times New Roman" w:hAnsi="Times New Roman" w:eastAsia="Times New Roman" w:cs="Times New Roman"/>
          <w:sz w:val="21"/>
          <w:szCs w:val="21"/>
          <w:lang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The Provider and the Introducer are each referred to as a “Party” and together as the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eastAsia="ru-RU"/>
        </w:rPr>
        <w:t xml:space="preserve">WHEREAS:</w:t>
      </w:r>
      <w:r>
        <w:rPr>
          <w:rFonts w:ascii="Times New Roman" w:hAnsi="Times New Roman" w:eastAsia="Times New Roman" w:cs="Times New Roman"/>
          <w:sz w:val="21"/>
          <w:szCs w:val="21"/>
          <w:lang w:eastAsia="ru-RU"/>
        </w:rPr>
      </w:r>
    </w:p>
    <w:p>
      <w:pPr>
        <w:numPr>
          <w:ilvl w:val="0"/>
          <w:numId w:val="5"/>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The Introducer has a network of clients and contacts who may be interested in obtaining the services offered by the Provider;</w:t>
      </w:r>
      <w:r>
        <w:rPr>
          <w:rFonts w:ascii="Times New Roman" w:hAnsi="Times New Roman" w:eastAsia="Times New Roman" w:cs="Times New Roman"/>
          <w:sz w:val="21"/>
          <w:szCs w:val="21"/>
          <w:lang w:val="en-US" w:eastAsia="ru-RU"/>
        </w:rPr>
      </w:r>
    </w:p>
    <w:p>
      <w:pPr>
        <w:numPr>
          <w:ilvl w:val="0"/>
          <w:numId w:val="5"/>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The Provider wishes to be introduced to such clients or contacts and is willing to pay the Introducer a commission for successful introductions that result in the Provider entering into business contracts with those clients;</w:t>
      </w:r>
      <w:r>
        <w:rPr>
          <w:rFonts w:ascii="Times New Roman" w:hAnsi="Times New Roman" w:eastAsia="Times New Roman" w:cs="Times New Roman"/>
          <w:sz w:val="21"/>
          <w:szCs w:val="21"/>
          <w:lang w:val="en-US" w:eastAsia="ru-RU"/>
        </w:rPr>
      </w:r>
    </w:p>
    <w:p>
      <w:pPr>
        <w:numPr>
          <w:ilvl w:val="0"/>
          <w:numId w:val="5"/>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The Parties desire to set forth the terms and conditions of such introductions and the related rights, obligations, and limitations, as outlined below.</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NOW, THEREFORE,</w:t>
      </w:r>
      <w:r>
        <w:rPr>
          <w:rFonts w:ascii="Times New Roman" w:hAnsi="Times New Roman" w:eastAsia="Times New Roman" w:cs="Times New Roman"/>
          <w:sz w:val="21"/>
          <w:szCs w:val="21"/>
          <w:lang w:val="en-US" w:eastAsia="ru-RU"/>
        </w:rPr>
        <w:t xml:space="preserve"> in consideration of the mutual promises and covenants herein, the Parties hereby agree as follows: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1. Definitions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For purposes of this Agreement, the following terms shall have the meanings set out below:</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"Prospective Client"</w:t>
      </w:r>
      <w:r>
        <w:rPr>
          <w:rFonts w:ascii="Times New Roman" w:hAnsi="Times New Roman" w:eastAsia="Times New Roman" w:cs="Times New Roman"/>
          <w:sz w:val="21"/>
          <w:szCs w:val="21"/>
          <w:lang w:val="en-US" w:eastAsia="ru-RU"/>
        </w:rPr>
        <w:t xml:space="preserve"> means any person or </w:t>
      </w:r>
      <w:r>
        <w:rPr>
          <w:rFonts w:ascii="Times New Roman" w:hAnsi="Times New Roman" w:eastAsia="Times New Roman" w:cs="Times New Roman"/>
          <w:sz w:val="21"/>
          <w:szCs w:val="21"/>
          <w:lang w:val="en-US" w:eastAsia="ru-RU"/>
        </w:rPr>
        <w:t xml:space="preserve">entity that is not already an active client of the Provider (and with whom the Provider has not had any prior substantive negotiations for the provision of services) and whom the Introducer identifies and presents to the Provider as a potential new client.</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"Business Day"</w:t>
      </w:r>
      <w:r>
        <w:rPr>
          <w:rFonts w:ascii="Times New Roman" w:hAnsi="Times New Roman" w:eastAsia="Times New Roman" w:cs="Times New Roman"/>
          <w:sz w:val="21"/>
          <w:szCs w:val="21"/>
          <w:lang w:val="en-US" w:eastAsia="ru-RU"/>
        </w:rPr>
        <w:t xml:space="preserve"> means any day other than a Saturday or Sunday on which banks are generally open for business in Cyprus (for clarity, if a term requires calculation of days, this term refers to such working days).</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val="en-US" w:eastAsia="ru-RU"/>
        </w:rPr>
        <w:t xml:space="preserve">"Introduction"</w:t>
      </w:r>
      <w:r>
        <w:rPr>
          <w:rFonts w:ascii="Times New Roman" w:hAnsi="Times New Roman" w:eastAsia="Times New Roman" w:cs="Times New Roman"/>
          <w:sz w:val="21"/>
          <w:szCs w:val="21"/>
          <w:lang w:val="en-US" w:eastAsia="ru-RU"/>
        </w:rPr>
        <w:t xml:space="preserve"> means the act of the Introducer introducing a Prospective Client to the Provider, whether by providing the Prospective Client’s contact information to the Provider or by arranging initial communications between them. </w:t>
      </w:r>
      <w:r>
        <w:rPr>
          <w:rFonts w:ascii="Times New Roman" w:hAnsi="Times New Roman" w:eastAsia="Times New Roman" w:cs="Times New Roman"/>
          <w:sz w:val="21"/>
          <w:szCs w:val="21"/>
          <w:lang w:eastAsia="ru-RU"/>
        </w:rPr>
        <w:t xml:space="preserve">The </w:t>
      </w:r>
      <w:r>
        <w:rPr>
          <w:rFonts w:ascii="Times New Roman" w:hAnsi="Times New Roman" w:eastAsia="Times New Roman" w:cs="Times New Roman"/>
          <w:sz w:val="21"/>
          <w:szCs w:val="21"/>
          <w:lang w:eastAsia="ru-RU"/>
        </w:rPr>
        <w:t xml:space="preserve">terms</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b/>
          <w:bCs/>
          <w:sz w:val="21"/>
          <w:szCs w:val="21"/>
          <w:lang w:eastAsia="ru-RU"/>
        </w:rPr>
        <w:t xml:space="preserve">"</w:t>
      </w:r>
      <w:r>
        <w:rPr>
          <w:rFonts w:ascii="Times New Roman" w:hAnsi="Times New Roman" w:eastAsia="Times New Roman" w:cs="Times New Roman"/>
          <w:b/>
          <w:bCs/>
          <w:sz w:val="21"/>
          <w:szCs w:val="21"/>
          <w:lang w:eastAsia="ru-RU"/>
        </w:rPr>
        <w:t xml:space="preserve">Introduce</w:t>
      </w:r>
      <w:r>
        <w:rPr>
          <w:rFonts w:ascii="Times New Roman" w:hAnsi="Times New Roman" w:eastAsia="Times New Roman" w:cs="Times New Roman"/>
          <w:b/>
          <w:bCs/>
          <w:sz w:val="21"/>
          <w:szCs w:val="21"/>
          <w:lang w:eastAsia="ru-RU"/>
        </w:rPr>
        <w:t xml:space="preserv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and</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b/>
          <w:bCs/>
          <w:sz w:val="21"/>
          <w:szCs w:val="21"/>
          <w:lang w:eastAsia="ru-RU"/>
        </w:rPr>
        <w:t xml:space="preserve">"</w:t>
      </w:r>
      <w:r>
        <w:rPr>
          <w:rFonts w:ascii="Times New Roman" w:hAnsi="Times New Roman" w:eastAsia="Times New Roman" w:cs="Times New Roman"/>
          <w:b/>
          <w:bCs/>
          <w:sz w:val="21"/>
          <w:szCs w:val="21"/>
          <w:lang w:eastAsia="ru-RU"/>
        </w:rPr>
        <w:t xml:space="preserve">Introduced</w:t>
      </w:r>
      <w:r>
        <w:rPr>
          <w:rFonts w:ascii="Times New Roman" w:hAnsi="Times New Roman" w:eastAsia="Times New Roman" w:cs="Times New Roman"/>
          <w:b/>
          <w:bCs/>
          <w:sz w:val="21"/>
          <w:szCs w:val="21"/>
          <w:lang w:eastAsia="ru-RU"/>
        </w:rPr>
        <w:t xml:space="preserv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shall</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be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construed</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accordingly</w:t>
      </w:r>
      <w:r>
        <w:rPr>
          <w:rFonts w:ascii="Times New Roman" w:hAnsi="Times New Roman" w:eastAsia="Times New Roman" w:cs="Times New Roman"/>
          <w:sz w:val="21"/>
          <w:szCs w:val="21"/>
          <w:lang w:eastAsia="ru-RU"/>
        </w:rPr>
        <w:t xml:space="preserve">.</w:t>
      </w:r>
      <w:r>
        <w:rPr>
          <w:rFonts w:ascii="Times New Roman" w:hAnsi="Times New Roman" w:eastAsia="Times New Roman" w:cs="Times New Roman"/>
          <w:sz w:val="21"/>
          <w:szCs w:val="21"/>
          <w:lang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"Introduction Date"</w:t>
      </w:r>
      <w:r>
        <w:rPr>
          <w:rFonts w:ascii="Times New Roman" w:hAnsi="Times New Roman" w:eastAsia="Times New Roman" w:cs="Times New Roman"/>
          <w:sz w:val="21"/>
          <w:szCs w:val="21"/>
          <w:lang w:val="en-US" w:eastAsia="ru-RU"/>
        </w:rPr>
        <w:t xml:space="preserve"> means the date on which the Introducer first Introduces a given Prospective Client to the Provider.</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"Introduction Time Limit"</w:t>
      </w:r>
      <w:r>
        <w:rPr>
          <w:rFonts w:ascii="Times New Roman" w:hAnsi="Times New Roman" w:eastAsia="Times New Roman" w:cs="Times New Roman"/>
          <w:sz w:val="21"/>
          <w:szCs w:val="21"/>
          <w:lang w:val="en-US" w:eastAsia="ru-RU"/>
        </w:rPr>
        <w:t xml:space="preserve"> means </w:t>
      </w:r>
      <w:r>
        <w:rPr>
          <w:rFonts w:ascii="Times New Roman" w:hAnsi="Times New Roman" w:eastAsia="Times New Roman" w:cs="Times New Roman"/>
          <w:sz w:val="21"/>
          <w:szCs w:val="21"/>
          <w:lang w:val="en-US" w:eastAsia="ru-RU"/>
        </w:rPr>
        <w:t xml:space="preserve">the period of [six (6)] months following the Introduction Date, within which the Prospective Client must enter into an Applicable Contract (as defined below) with the Provider in order for the Introducer to be entitled to compensation under this Agreement.</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"Applicable Contract"</w:t>
      </w:r>
      <w:r>
        <w:rPr>
          <w:rFonts w:ascii="Times New Roman" w:hAnsi="Times New Roman" w:eastAsia="Times New Roman" w:cs="Times New Roman"/>
          <w:sz w:val="21"/>
          <w:szCs w:val="21"/>
          <w:lang w:val="en-US" w:eastAsia="ru-RU"/>
        </w:rPr>
        <w:t xml:space="preserve"> means a definitive agreement or transaction for the provision of the Provider’s services entered into between the Provider and a Prospective Client who w</w:t>
      </w:r>
      <w:r>
        <w:rPr>
          <w:rFonts w:ascii="Times New Roman" w:hAnsi="Times New Roman" w:eastAsia="Times New Roman" w:cs="Times New Roman"/>
          <w:sz w:val="21"/>
          <w:szCs w:val="21"/>
          <w:lang w:val="en-US" w:eastAsia="ru-RU"/>
        </w:rPr>
        <w:t xml:space="preserve">as Introduced by the Introducer, provided that the agreement is executed within the Introduction Time Limit. For the avoidance of doubt, an agreement shall be deemed an Applicable Contract upon its execution by both the Provider and the Prospective Client.</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"Introduced Client"</w:t>
      </w:r>
      <w:r>
        <w:rPr>
          <w:rFonts w:ascii="Times New Roman" w:hAnsi="Times New Roman" w:eastAsia="Times New Roman" w:cs="Times New Roman"/>
          <w:sz w:val="21"/>
          <w:szCs w:val="21"/>
          <w:lang w:val="en-US" w:eastAsia="ru-RU"/>
        </w:rPr>
        <w:t xml:space="preserve"> means a Prospective Client who enters into an Applicable Contract with the Provider.</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"Successful Introduction"</w:t>
      </w:r>
      <w:r>
        <w:rPr>
          <w:rFonts w:ascii="Times New Roman" w:hAnsi="Times New Roman" w:eastAsia="Times New Roman" w:cs="Times New Roman"/>
          <w:sz w:val="21"/>
          <w:szCs w:val="21"/>
          <w:lang w:val="en-US" w:eastAsia="ru-RU"/>
        </w:rPr>
        <w:t xml:space="preserve"> means an Introduction of a Prospective Client </w:t>
      </w:r>
      <w:r>
        <w:rPr>
          <w:rFonts w:ascii="Times New Roman" w:hAnsi="Times New Roman" w:eastAsia="Times New Roman" w:cs="Times New Roman"/>
          <w:sz w:val="21"/>
          <w:szCs w:val="21"/>
          <w:lang w:val="en-US" w:eastAsia="ru-RU"/>
        </w:rPr>
        <w:t xml:space="preserve">that results</w:t>
      </w:r>
      <w:r>
        <w:rPr>
          <w:rFonts w:ascii="Times New Roman" w:hAnsi="Times New Roman" w:eastAsia="Times New Roman" w:cs="Times New Roman"/>
          <w:sz w:val="21"/>
          <w:szCs w:val="21"/>
          <w:lang w:val="en-US" w:eastAsia="ru-RU"/>
        </w:rPr>
        <w:t xml:space="preserve"> in the execution of an Applicable Contract within the Introduction Time Limit.</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"Commission"</w:t>
      </w:r>
      <w:r>
        <w:rPr>
          <w:rFonts w:ascii="Times New Roman" w:hAnsi="Times New Roman" w:eastAsia="Times New Roman" w:cs="Times New Roman"/>
          <w:sz w:val="21"/>
          <w:szCs w:val="21"/>
          <w:lang w:val="en-US" w:eastAsia="ru-RU"/>
        </w:rPr>
        <w:t xml:space="preserve"> means a recurring commission fee equal to </w:t>
      </w:r>
      <w:r>
        <w:rPr>
          <w:rFonts w:ascii="Times New Roman" w:hAnsi="Times New Roman" w:eastAsia="Times New Roman" w:cs="Times New Roman"/>
          <w:b/>
          <w:bCs/>
          <w:sz w:val="21"/>
          <w:szCs w:val="21"/>
          <w:lang w:val="en-US" w:eastAsia="ru-RU"/>
        </w:rPr>
        <w:t xml:space="preserve">fifteen percent (15%)</w:t>
      </w:r>
      <w:r>
        <w:rPr>
          <w:rFonts w:ascii="Times New Roman" w:hAnsi="Times New Roman" w:eastAsia="Times New Roman" w:cs="Times New Roman"/>
          <w:sz w:val="21"/>
          <w:szCs w:val="21"/>
          <w:lang w:val="en-US" w:eastAsia="ru-RU"/>
        </w:rPr>
        <w:t xml:space="preserve"> of the Net Profit (as defined below) earned by the Provider from business conducted with an Introduced Client, payable by the Provider to the Introducer as described in Clause 4.1 of this Agreement.</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"Net Profit"</w:t>
      </w:r>
      <w:r>
        <w:rPr>
          <w:rFonts w:ascii="Times New Roman" w:hAnsi="Times New Roman" w:eastAsia="Times New Roman" w:cs="Times New Roman"/>
          <w:sz w:val="21"/>
          <w:szCs w:val="21"/>
          <w:lang w:val="en-US" w:eastAsia="ru-RU"/>
        </w:rPr>
        <w:t xml:space="preserve"> means the net income actually received by the Provider from an Introduced Client under an Applicable Contract, after deducting: (</w:t>
      </w:r>
      <w:r>
        <w:rPr>
          <w:rFonts w:ascii="Times New Roman" w:hAnsi="Times New Roman" w:eastAsia="Times New Roman" w:cs="Times New Roman"/>
          <w:sz w:val="21"/>
          <w:szCs w:val="21"/>
          <w:lang w:val="en-US" w:eastAsia="ru-RU"/>
        </w:rPr>
        <w:t xml:space="preserve">i</w:t>
      </w:r>
      <w:r>
        <w:rPr>
          <w:rFonts w:ascii="Times New Roman" w:hAnsi="Times New Roman" w:eastAsia="Times New Roman" w:cs="Times New Roman"/>
          <w:sz w:val="21"/>
          <w:szCs w:val="21"/>
          <w:lang w:val="en-US" w:eastAsia="ru-RU"/>
        </w:rPr>
        <w:t xml:space="preserve">) any value-added tax (VAT) or similar sales taxes; (ii) any direct costs and out-of-pocket expenses incurred by the Prov</w:t>
      </w:r>
      <w:r>
        <w:rPr>
          <w:rFonts w:ascii="Times New Roman" w:hAnsi="Times New Roman" w:eastAsia="Times New Roman" w:cs="Times New Roman"/>
          <w:sz w:val="21"/>
          <w:szCs w:val="21"/>
          <w:lang w:val="en-US" w:eastAsia="ru-RU"/>
        </w:rPr>
        <w:t xml:space="preserve">ider in delivering services to that client; and (iii) any discounts or rebates granted to that client. (For clarity, Net Profit is essentially the Provider’s gross revenue from the client minus applicable taxes, direct costs, and agreed discounts/rebates.)</w:t>
      </w:r>
      <w:r>
        <w:rPr>
          <w:rFonts w:ascii="Times New Roman" w:hAnsi="Times New Roman" w:eastAsia="Times New Roman" w:cs="Times New Roman"/>
          <w:sz w:val="21"/>
          <w:szCs w:val="21"/>
          <w:lang w:val="en-US" w:eastAsia="ru-RU"/>
        </w:rPr>
      </w:r>
    </w:p>
    <w:p>
      <w:pPr>
        <w:numPr>
          <w:ilvl w:val="0"/>
          <w:numId w:val="6"/>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"Confidential Information"</w:t>
      </w:r>
      <w:r>
        <w:rPr>
          <w:rFonts w:ascii="Times New Roman" w:hAnsi="Times New Roman" w:eastAsia="Times New Roman" w:cs="Times New Roman"/>
          <w:sz w:val="21"/>
          <w:szCs w:val="21"/>
          <w:lang w:val="en-US" w:eastAsia="ru-RU"/>
        </w:rPr>
        <w:t xml:space="preserve"> means all inform</w:t>
      </w:r>
      <w:r>
        <w:rPr>
          <w:rFonts w:ascii="Times New Roman" w:hAnsi="Times New Roman" w:eastAsia="Times New Roman" w:cs="Times New Roman"/>
          <w:sz w:val="21"/>
          <w:szCs w:val="21"/>
          <w:lang w:val="en-US" w:eastAsia="ru-RU"/>
        </w:rPr>
        <w:t xml:space="preserve">ation, in any form or medium, that is disclosed by or on behalf of one Party to the other Party in connection with this Agreement, and that is identified as confidential or would reasonably be understood to be confidential given the nature of the informati</w:t>
      </w:r>
      <w:r>
        <w:rPr>
          <w:rFonts w:ascii="Times New Roman" w:hAnsi="Times New Roman" w:eastAsia="Times New Roman" w:cs="Times New Roman"/>
          <w:sz w:val="21"/>
          <w:szCs w:val="21"/>
          <w:lang w:val="en-US" w:eastAsia="ru-RU"/>
        </w:rPr>
        <w:t xml:space="preserve">on or the context of its disclosure. Confidential Information includes, but is not limited to, commercial or technical information such as business plans, financial records, client lists, pricing information, trade secrets, and the terms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2. Appointment and Scope of Relationship</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2.1 Appointment of Introducer:</w:t>
      </w:r>
      <w:r>
        <w:rPr>
          <w:rFonts w:ascii="Times New Roman" w:hAnsi="Times New Roman" w:eastAsia="Times New Roman" w:cs="Times New Roman"/>
          <w:sz w:val="21"/>
          <w:szCs w:val="21"/>
          <w:lang w:val="en-US" w:eastAsia="ru-RU"/>
        </w:rPr>
        <w:t xml:space="preserve"> The Provider hereby appoints the Introducer on a non-exclusive basis to act as an introducer of Prospective Clients for the Provider’s services, and the Introducer accepts such appointment. Nothing in this Agreement shall preven</w:t>
      </w:r>
      <w:r>
        <w:rPr>
          <w:rFonts w:ascii="Times New Roman" w:hAnsi="Times New Roman" w:eastAsia="Times New Roman" w:cs="Times New Roman"/>
          <w:sz w:val="21"/>
          <w:szCs w:val="21"/>
          <w:lang w:val="en-US" w:eastAsia="ru-RU"/>
        </w:rPr>
        <w:t xml:space="preserve">t the Provider from engaging other introducers or intermediaries, or prevent the Introducer from performing similar introduction services for other service providers, provided that such activities do not conflict with or breach the terms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2.2 Independent Contractor; No Partnership:</w:t>
      </w:r>
      <w:r>
        <w:rPr>
          <w:rFonts w:ascii="Times New Roman" w:hAnsi="Times New Roman" w:eastAsia="Times New Roman" w:cs="Times New Roman"/>
          <w:sz w:val="21"/>
          <w:szCs w:val="21"/>
          <w:lang w:val="en-US" w:eastAsia="ru-RU"/>
        </w:rPr>
        <w:t xml:space="preserve"> The relationship of the Introducer to the Provider is that of an independent contractor. Nothing in this Agreement is intended to, or shall be de</w:t>
      </w:r>
      <w:r>
        <w:rPr>
          <w:rFonts w:ascii="Times New Roman" w:hAnsi="Times New Roman" w:eastAsia="Times New Roman" w:cs="Times New Roman"/>
          <w:sz w:val="21"/>
          <w:szCs w:val="21"/>
          <w:lang w:val="en-US" w:eastAsia="ru-RU"/>
        </w:rPr>
        <w:t xml:space="preserve">emed to, create any partnership, joint venture, agency, franchise, or employment relationship between the Parties. The Introducer has no authority to bind or act on behalf of the Provider in any way, and shall not represent itself as having such authority.</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2.3 No Authority to Contract on Behalf of Provider:</w:t>
      </w:r>
      <w:r>
        <w:rPr>
          <w:rFonts w:ascii="Times New Roman" w:hAnsi="Times New Roman" w:eastAsia="Times New Roman" w:cs="Times New Roman"/>
          <w:sz w:val="21"/>
          <w:szCs w:val="21"/>
          <w:lang w:val="en-US" w:eastAsia="ru-RU"/>
        </w:rPr>
        <w:t xml:space="preserve"> The Introducer shall not negotiate or enter into any contract, or make any promise or representation, on the Provider’s behalf. All contracts or agreements for the Provider’s services with any Prospective Client shall be concluded solely by the Pr</w:t>
      </w:r>
      <w:r>
        <w:rPr>
          <w:rFonts w:ascii="Times New Roman" w:hAnsi="Times New Roman" w:eastAsia="Times New Roman" w:cs="Times New Roman"/>
          <w:sz w:val="21"/>
          <w:szCs w:val="21"/>
          <w:lang w:val="en-US" w:eastAsia="ru-RU"/>
        </w:rPr>
        <w:t xml:space="preserve">ovider (at the Provider’s discretion) directly with the Prospective Client. The Provider is solely responsible for determining the terms and conditions of any agreement with a Prospective Client and for providing and performing its services to that client.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2.4 Limited Liability of Introducer:</w:t>
      </w:r>
      <w:r>
        <w:rPr>
          <w:rFonts w:ascii="Times New Roman" w:hAnsi="Times New Roman" w:eastAsia="Times New Roman" w:cs="Times New Roman"/>
          <w:sz w:val="21"/>
          <w:szCs w:val="21"/>
          <w:lang w:val="en-US" w:eastAsia="ru-RU"/>
        </w:rPr>
        <w:t xml:space="preserve"> The Parties acknowledge that the Introducer’s role under this Agreement is strictly limited to making introductions. The Introducer shall not be liable for any acts, omissions, or defaults of the Provider or of any Prospective Client, nor for the pe</w:t>
      </w:r>
      <w:r>
        <w:rPr>
          <w:rFonts w:ascii="Times New Roman" w:hAnsi="Times New Roman" w:eastAsia="Times New Roman" w:cs="Times New Roman"/>
          <w:sz w:val="21"/>
          <w:szCs w:val="21"/>
          <w:lang w:val="en-US" w:eastAsia="ru-RU"/>
        </w:rPr>
        <w:t xml:space="preserve">rformance or outcome of any contract or services between the Provider and any Introduced Client. The Provider agrees that it will not hold the Introducer responsible for any loss, damage, or dispute arising out of the relationship between the Provider and </w:t>
      </w:r>
      <w:r>
        <w:rPr>
          <w:rFonts w:ascii="Times New Roman" w:hAnsi="Times New Roman" w:eastAsia="Times New Roman" w:cs="Times New Roman"/>
          <w:sz w:val="21"/>
          <w:szCs w:val="21"/>
          <w:lang w:val="en-US" w:eastAsia="ru-RU"/>
        </w:rPr>
        <w:t xml:space="preserve">an Introduced Client. In particular, the Introducer shall not be liable for any failure by a Prospective Client to fulfill its obligations to the Provider, nor for any failure by the Provider to ultimately enter into an agreement with a Prospective Client.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2.5 Due Diligence and Compliance:</w:t>
      </w:r>
      <w:r>
        <w:rPr>
          <w:rFonts w:ascii="Times New Roman" w:hAnsi="Times New Roman" w:eastAsia="Times New Roman" w:cs="Times New Roman"/>
          <w:sz w:val="21"/>
          <w:szCs w:val="21"/>
          <w:lang w:val="en-US" w:eastAsia="ru-RU"/>
        </w:rPr>
        <w:t xml:space="preserve"> The Provider shall be solely responsible for conducting any due diligence, background checks, credit assessments, compliance verifications (including any know-your-customer or anti-money launderin</w:t>
      </w:r>
      <w:r>
        <w:rPr>
          <w:rFonts w:ascii="Times New Roman" w:hAnsi="Times New Roman" w:eastAsia="Times New Roman" w:cs="Times New Roman"/>
          <w:sz w:val="21"/>
          <w:szCs w:val="21"/>
          <w:lang w:val="en-US" w:eastAsia="ru-RU"/>
        </w:rPr>
        <w:t xml:space="preserve">g procedures), or other vetting of Prospective Clients that the Provider deems necessary or that are required by applicable law or regulation. The Introducer makes no warranty or representation regarding the creditworthiness, suitability, or reliability of</w:t>
      </w:r>
      <w:r>
        <w:rPr>
          <w:rFonts w:ascii="Times New Roman" w:hAnsi="Times New Roman" w:eastAsia="Times New Roman" w:cs="Times New Roman"/>
          <w:sz w:val="21"/>
          <w:szCs w:val="21"/>
          <w:lang w:val="en-US" w:eastAsia="ru-RU"/>
        </w:rPr>
        <w:t xml:space="preserve"> any Prospective Client. The Provider is responsible for ensuring that entering into any Applicable Contract with a Prospective Client introduced under this Agreement complies with all laws and regulatory requirements applicable to the Provider’s business.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3. Introduction of Prospective Clients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3.1 Introduction Procedure:</w:t>
      </w:r>
      <w:r>
        <w:rPr>
          <w:rFonts w:ascii="Times New Roman" w:hAnsi="Times New Roman" w:eastAsia="Times New Roman" w:cs="Times New Roman"/>
          <w:sz w:val="21"/>
          <w:szCs w:val="21"/>
          <w:lang w:val="en-US" w:eastAsia="ru-RU"/>
        </w:rPr>
        <w:t xml:space="preserve"> When the Introducer identifies a Prospective Client that it wishes to introduce to the Provider, the Introducer shall provide the Provider with written notice of the prospective lead. S</w:t>
      </w:r>
      <w:r>
        <w:rPr>
          <w:rFonts w:ascii="Times New Roman" w:hAnsi="Times New Roman" w:eastAsia="Times New Roman" w:cs="Times New Roman"/>
          <w:sz w:val="21"/>
          <w:szCs w:val="21"/>
          <w:lang w:val="en-US" w:eastAsia="ru-RU"/>
        </w:rPr>
        <w:t xml:space="preserve">uch notice shall include the Prospective Client’s name and appropriate contact details, and any other information that the Provider may reasonably require to evaluate the opportunity (for example, the nature of the Prospective Client’s business or specific</w:t>
      </w:r>
      <w:r>
        <w:rPr>
          <w:rFonts w:ascii="Times New Roman" w:hAnsi="Times New Roman" w:eastAsia="Times New Roman" w:cs="Times New Roman"/>
          <w:sz w:val="21"/>
          <w:szCs w:val="21"/>
          <w:lang w:val="en-US" w:eastAsia="ru-RU"/>
        </w:rPr>
        <w:t xml:space="preserve"> services of interest). The Introducer shall ensure that all Introductions are made in compliance with applicable data protection laws, and the Introducer shall obtain any necessary consent to share a Prospective Client’s contact details with the Provider.</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3.2 Acceptance or Rejection of Introduction:</w:t>
      </w:r>
      <w:r>
        <w:rPr>
          <w:rFonts w:ascii="Times New Roman" w:hAnsi="Times New Roman" w:eastAsia="Times New Roman" w:cs="Times New Roman"/>
          <w:sz w:val="21"/>
          <w:szCs w:val="21"/>
          <w:lang w:val="en-US" w:eastAsia="ru-RU"/>
        </w:rPr>
        <w:t xml:space="preserve"> The Provider shall review the information provided by the Introducer for each Prospective Client. If the Provider has prior knowledge of, or has already been in contact with, the Prospective Client, the Pro</w:t>
      </w:r>
      <w:r>
        <w:rPr>
          <w:rFonts w:ascii="Times New Roman" w:hAnsi="Times New Roman" w:eastAsia="Times New Roman" w:cs="Times New Roman"/>
          <w:sz w:val="21"/>
          <w:szCs w:val="21"/>
          <w:lang w:val="en-US" w:eastAsia="ru-RU"/>
        </w:rPr>
        <w:t xml:space="preserve">vider shall inform the Introducer in writing within ten (10) Business Days of the Introduction. In particular, the Provider must notify the Introducer if (a) the Prospective Client is already an existing client of the Provider, or (b) the Provider was alre</w:t>
      </w:r>
      <w:r>
        <w:rPr>
          <w:rFonts w:ascii="Times New Roman" w:hAnsi="Times New Roman" w:eastAsia="Times New Roman" w:cs="Times New Roman"/>
          <w:sz w:val="21"/>
          <w:szCs w:val="21"/>
          <w:lang w:val="en-US" w:eastAsia="ru-RU"/>
        </w:rPr>
        <w:t xml:space="preserve">ady in active discussions or negotiations with that Prospective Client regarding the Provider’s services before the Introduction. In either such case, that Prospective Client will be excluded from this Agreement, and the Introducer shall not be entitled to</w:t>
      </w:r>
      <w:r>
        <w:rPr>
          <w:rFonts w:ascii="Times New Roman" w:hAnsi="Times New Roman" w:eastAsia="Times New Roman" w:cs="Times New Roman"/>
          <w:sz w:val="21"/>
          <w:szCs w:val="21"/>
          <w:lang w:val="en-US" w:eastAsia="ru-RU"/>
        </w:rPr>
        <w:t xml:space="preserve"> any Commission for that client. If the Provider does not object or give notice of a pre-existing relationship within the 10 Business Day period, the Prospective Client will be deemed accepted as a valid introduction subject to the terms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3.3 Good Faith Efforts by Introducer:</w:t>
      </w:r>
      <w:r>
        <w:rPr>
          <w:rFonts w:ascii="Times New Roman" w:hAnsi="Times New Roman" w:eastAsia="Times New Roman" w:cs="Times New Roman"/>
          <w:sz w:val="21"/>
          <w:szCs w:val="21"/>
          <w:lang w:val="en-US" w:eastAsia="ru-RU"/>
        </w:rPr>
        <w:t xml:space="preserve"> The Int</w:t>
      </w:r>
      <w:r>
        <w:rPr>
          <w:rFonts w:ascii="Times New Roman" w:hAnsi="Times New Roman" w:eastAsia="Times New Roman" w:cs="Times New Roman"/>
          <w:sz w:val="21"/>
          <w:szCs w:val="21"/>
          <w:lang w:val="en-US" w:eastAsia="ru-RU"/>
        </w:rPr>
        <w:t xml:space="preserve">roducer shall use reasonable efforts to introduce Prospective Clients who meet the target profile or criteria (if any) provided by the Provider. The Introducer shall not knowingly introduce any Prospective Client that the Introducer reasonably believes doe</w:t>
      </w:r>
      <w:r>
        <w:rPr>
          <w:rFonts w:ascii="Times New Roman" w:hAnsi="Times New Roman" w:eastAsia="Times New Roman" w:cs="Times New Roman"/>
          <w:sz w:val="21"/>
          <w:szCs w:val="21"/>
          <w:lang w:val="en-US" w:eastAsia="ru-RU"/>
        </w:rPr>
        <w:t xml:space="preserve">s not meet the Provider’s eligibility requirements or would likely fail to pass the Provider’s customary onboarding or compliance checks. The Introducer shall at all times act honestly and in good faith in carrying out its obligations under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3.4 No Guarantee of Business:</w:t>
      </w:r>
      <w:r>
        <w:rPr>
          <w:rFonts w:ascii="Times New Roman" w:hAnsi="Times New Roman" w:eastAsia="Times New Roman" w:cs="Times New Roman"/>
          <w:sz w:val="21"/>
          <w:szCs w:val="21"/>
          <w:lang w:val="en-US" w:eastAsia="ru-RU"/>
        </w:rPr>
        <w:t xml:space="preserve"> The Introducer does not guarantee that any Introduction will result in an Applicable Contract or any business transaction between the Provider and a Prospective Client. The decision whether to enter into an agreement with any Prospective Client remains en</w:t>
      </w:r>
      <w:r>
        <w:rPr>
          <w:rFonts w:ascii="Times New Roman" w:hAnsi="Times New Roman" w:eastAsia="Times New Roman" w:cs="Times New Roman"/>
          <w:sz w:val="21"/>
          <w:szCs w:val="21"/>
          <w:lang w:val="en-US" w:eastAsia="ru-RU"/>
        </w:rPr>
        <w:t xml:space="preserve">tirely with the Provider (and the Prospective Client). The Introducer’s entitlement to Commission for a Successful Introduction arises only upon the Provider and the Prospective Client actually entering into an Applicable Contract on mutually agreed terms.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4. Fees and Payment</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4.1 Commission on Provider’s Net Profit:</w:t>
      </w:r>
      <w:r>
        <w:rPr>
          <w:rFonts w:ascii="Times New Roman" w:hAnsi="Times New Roman" w:eastAsia="Times New Roman" w:cs="Times New Roman"/>
          <w:sz w:val="21"/>
          <w:szCs w:val="21"/>
          <w:lang w:val="en-US" w:eastAsia="ru-RU"/>
        </w:rPr>
        <w:t xml:space="preserve"> The Provider shall pay the Introducer a Commission equal to </w:t>
      </w:r>
      <w:r>
        <w:rPr>
          <w:rFonts w:ascii="Times New Roman" w:hAnsi="Times New Roman" w:eastAsia="Times New Roman" w:cs="Times New Roman"/>
          <w:b/>
          <w:bCs/>
          <w:sz w:val="21"/>
          <w:szCs w:val="21"/>
          <w:lang w:val="en-US" w:eastAsia="ru-RU"/>
        </w:rPr>
        <w:t xml:space="preserve">15% (fifteen percent)</w:t>
      </w:r>
      <w:r>
        <w:rPr>
          <w:rFonts w:ascii="Times New Roman" w:hAnsi="Times New Roman" w:eastAsia="Times New Roman" w:cs="Times New Roman"/>
          <w:sz w:val="21"/>
          <w:szCs w:val="21"/>
          <w:lang w:val="en-US" w:eastAsia="ru-RU"/>
        </w:rPr>
        <w:t xml:space="preserve"> of the Net Profit earned by the Provider from each Introduced Client. Commission shall be calculated on all Net Profit derived by the Provider from services provided to the Introduced Client under the initial Applicable Contract and </w:t>
      </w:r>
      <w:r>
        <w:rPr>
          <w:rFonts w:ascii="Times New Roman" w:hAnsi="Times New Roman" w:eastAsia="Times New Roman" w:cs="Times New Roman"/>
          <w:b/>
          <w:bCs/>
          <w:sz w:val="21"/>
          <w:szCs w:val="21"/>
          <w:lang w:val="en-US" w:eastAsia="ru-RU"/>
        </w:rPr>
        <w:t xml:space="preserve">any and all</w:t>
      </w:r>
      <w:r>
        <w:rPr>
          <w:rFonts w:ascii="Times New Roman" w:hAnsi="Times New Roman" w:eastAsia="Times New Roman" w:cs="Times New Roman"/>
          <w:sz w:val="21"/>
          <w:szCs w:val="21"/>
          <w:lang w:val="en-US" w:eastAsia="ru-RU"/>
        </w:rPr>
        <w:t xml:space="preserve"> subsequent contracts or transactions between the Provider and that Introduced Client that arise from the initial Introduction. </w:t>
      </w:r>
      <w:r>
        <w:rPr>
          <w:rFonts w:ascii="Times New Roman" w:hAnsi="Times New Roman" w:eastAsia="Times New Roman" w:cs="Times New Roman"/>
          <w:sz w:val="21"/>
          <w:szCs w:val="21"/>
          <w:lang w:val="en-US" w:eastAsia="ru-RU"/>
        </w:rPr>
        <w:t xml:space="preserve">The Provider’s obligation to pay Commission with respect to an Introduced Client shall continue for as long as the Introduced Client remains a client of the Provider (as a result of the Introduction), with no limitation in time (subject to the post-termina</w:t>
      </w:r>
      <w:r>
        <w:rPr>
          <w:rFonts w:ascii="Times New Roman" w:hAnsi="Times New Roman" w:eastAsia="Times New Roman" w:cs="Times New Roman"/>
          <w:sz w:val="21"/>
          <w:szCs w:val="21"/>
          <w:lang w:val="en-US" w:eastAsia="ru-RU"/>
        </w:rPr>
        <w:t xml:space="preserve">tion provisions of this Agreement). For clarity, if an Introduced Client continues to engage the Provider for additional services or renewals after the first Applicable Contract, the agreed 15% Commission shall apply to the Net Profit from those ongoing or</w:t>
      </w:r>
      <w:r>
        <w:rPr>
          <w:rFonts w:ascii="Times New Roman" w:hAnsi="Times New Roman" w:eastAsia="Times New Roman" w:cs="Times New Roman"/>
          <w:sz w:val="21"/>
          <w:szCs w:val="21"/>
          <w:lang w:val="en-US" w:eastAsia="ru-RU"/>
        </w:rPr>
        <w:t xml:space="preserve"> future services as well. The obligation to pay any Commission that has accrued (or will accrue) in respect of an Introduced Client survives termination of this Agreement (subject to Clause 8.5 below), such that the Introducer remains entitled to receive C</w:t>
      </w:r>
      <w:r>
        <w:rPr>
          <w:rFonts w:ascii="Times New Roman" w:hAnsi="Times New Roman" w:eastAsia="Times New Roman" w:cs="Times New Roman"/>
          <w:sz w:val="21"/>
          <w:szCs w:val="21"/>
          <w:lang w:val="en-US" w:eastAsia="ru-RU"/>
        </w:rPr>
        <w:t xml:space="preserve">ommission on Net Profit earned from that Introduced Client even after this Agreement ends, provided that the Applicable Contract with that client was entered into during the term of this Agreement (or within the Introduction Time Limit as permitted above).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4.2 Quarterly Reporting and Payment:</w:t>
      </w:r>
      <w:r>
        <w:rPr>
          <w:rFonts w:ascii="Times New Roman" w:hAnsi="Times New Roman" w:eastAsia="Times New Roman" w:cs="Times New Roman"/>
          <w:sz w:val="21"/>
          <w:szCs w:val="21"/>
          <w:lang w:val="en-US" w:eastAsia="ru-RU"/>
        </w:rPr>
        <w:t xml:space="preserve"> The Provider shall track the Net Profit earned from each Introduced Client. Within thirty (30) days after the end of each calendar quarter, the Provider shall provide the Introducer w</w:t>
      </w:r>
      <w:r>
        <w:rPr>
          <w:rFonts w:ascii="Times New Roman" w:hAnsi="Times New Roman" w:eastAsia="Times New Roman" w:cs="Times New Roman"/>
          <w:sz w:val="21"/>
          <w:szCs w:val="21"/>
          <w:lang w:val="en-US" w:eastAsia="ru-RU"/>
        </w:rPr>
        <w:t xml:space="preserve">ith a written statement (which may be by email or other written report) showing the Net Profit earned from each Introduced Client during that quarter and the corresponding Commission payable to the Introducer for that period. Along with each such quarterly</w:t>
      </w:r>
      <w:r>
        <w:rPr>
          <w:rFonts w:ascii="Times New Roman" w:hAnsi="Times New Roman" w:eastAsia="Times New Roman" w:cs="Times New Roman"/>
          <w:sz w:val="21"/>
          <w:szCs w:val="21"/>
          <w:lang w:val="en-US" w:eastAsia="ru-RU"/>
        </w:rPr>
        <w:t xml:space="preserve"> statement, the Provider shall remit payment of the Commission due for that quarter to the Introducer. If no Net Profit was earned from Introduced Clients in a given quarter, the Provider’s statement shall reflect that no Commission is due for that period.</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4.3 Payment Method and Taxes:</w:t>
      </w:r>
      <w:r>
        <w:rPr>
          <w:rFonts w:ascii="Times New Roman" w:hAnsi="Times New Roman" w:eastAsia="Times New Roman" w:cs="Times New Roman"/>
          <w:sz w:val="21"/>
          <w:szCs w:val="21"/>
          <w:lang w:val="en-US" w:eastAsia="ru-RU"/>
        </w:rPr>
        <w:t xml:space="preserve"> All payments of Commissions under this Agreement shall be made in [Currency] (unless another currency is agreed in writing by the Parties), by electronic bank transfer to the account des</w:t>
      </w:r>
      <w:r>
        <w:rPr>
          <w:rFonts w:ascii="Times New Roman" w:hAnsi="Times New Roman" w:eastAsia="Times New Roman" w:cs="Times New Roman"/>
          <w:sz w:val="21"/>
          <w:szCs w:val="21"/>
          <w:lang w:val="en-US" w:eastAsia="ru-RU"/>
        </w:rPr>
        <w:t xml:space="preserve">ignated in writing by the Introducer. All amounts are stated as gross amounts exclusive of any value-added tax (VAT) or similar taxes. If any VAT, sales tax, or similar charge is payable on any Commission under applicable law, the Provider shall pay such t</w:t>
      </w:r>
      <w:r>
        <w:rPr>
          <w:rFonts w:ascii="Times New Roman" w:hAnsi="Times New Roman" w:eastAsia="Times New Roman" w:cs="Times New Roman"/>
          <w:sz w:val="21"/>
          <w:szCs w:val="21"/>
          <w:lang w:val="en-US" w:eastAsia="ru-RU"/>
        </w:rPr>
        <w:t xml:space="preserve">ax in addition to the Commission, provided that the Introducer issues a valid tax invoice for the same. Each Party shall be responsible for its own income or corporate taxes arising from monies received under this Agreement. The Provider shall not deduct o</w:t>
      </w:r>
      <w:r>
        <w:rPr>
          <w:rFonts w:ascii="Times New Roman" w:hAnsi="Times New Roman" w:eastAsia="Times New Roman" w:cs="Times New Roman"/>
          <w:sz w:val="21"/>
          <w:szCs w:val="21"/>
          <w:lang w:val="en-US" w:eastAsia="ru-RU"/>
        </w:rPr>
        <w:t xml:space="preserve">r withhold any taxes from the Commission payable to the Introducer unless required by law. If any withholding is required by law, the Provider shall promptly furnish the Introducer with official receipts or other documentation necessary for the Introducer </w:t>
      </w:r>
      <w:r>
        <w:rPr>
          <w:rFonts w:ascii="Times New Roman" w:hAnsi="Times New Roman" w:eastAsia="Times New Roman" w:cs="Times New Roman"/>
          <w:sz w:val="21"/>
          <w:szCs w:val="21"/>
          <w:lang w:val="en-US" w:eastAsia="ru-RU"/>
        </w:rPr>
        <w:t xml:space="preserve">to claim a foreign tax credit or refund (as applicable), and the Parties shall discuss in good faith any steps available to minimize such withholding.</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4.4 Late Payment:</w:t>
      </w:r>
      <w:r>
        <w:rPr>
          <w:rFonts w:ascii="Times New Roman" w:hAnsi="Times New Roman" w:eastAsia="Times New Roman" w:cs="Times New Roman"/>
          <w:sz w:val="21"/>
          <w:szCs w:val="21"/>
          <w:lang w:val="en-US" w:eastAsia="ru-RU"/>
        </w:rPr>
        <w:t xml:space="preserve"> If the P</w:t>
      </w:r>
      <w:r>
        <w:rPr>
          <w:rFonts w:ascii="Times New Roman" w:hAnsi="Times New Roman" w:eastAsia="Times New Roman" w:cs="Times New Roman"/>
          <w:sz w:val="21"/>
          <w:szCs w:val="21"/>
          <w:lang w:val="en-US" w:eastAsia="ru-RU"/>
        </w:rPr>
        <w:t xml:space="preserve">rovider fails to pay any undisputed Commission by the due date for payment, the Introducer may charge interest on the overdue amount at a rate of four percent (4%) per annum above the prevailing base lending rate of the Central Bank of Cyprus (or an equiva</w:t>
      </w:r>
      <w:r>
        <w:rPr>
          <w:rFonts w:ascii="Times New Roman" w:hAnsi="Times New Roman" w:eastAsia="Times New Roman" w:cs="Times New Roman"/>
          <w:sz w:val="21"/>
          <w:szCs w:val="21"/>
          <w:lang w:val="en-US" w:eastAsia="ru-RU"/>
        </w:rPr>
        <w:t xml:space="preserve">lent reference rate), accruing daily from the date the payment became due until the date the payment is made in full. The Parties agree that this interest charge represents a reasonable estimate of the cost of late payment and is not intended as a penalty.</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4.5 Audit Rights:</w:t>
      </w:r>
      <w:r>
        <w:rPr>
          <w:rFonts w:ascii="Times New Roman" w:hAnsi="Times New Roman" w:eastAsia="Times New Roman" w:cs="Times New Roman"/>
          <w:sz w:val="21"/>
          <w:szCs w:val="21"/>
          <w:lang w:val="en-US" w:eastAsia="ru-RU"/>
        </w:rPr>
        <w:t xml:space="preserve"> The Introducer shall have the right to verify the accuracy </w:t>
      </w:r>
      <w:r>
        <w:rPr>
          <w:rFonts w:ascii="Times New Roman" w:hAnsi="Times New Roman" w:eastAsia="Times New Roman" w:cs="Times New Roman"/>
          <w:sz w:val="21"/>
          <w:szCs w:val="21"/>
          <w:lang w:val="en-US" w:eastAsia="ru-RU"/>
        </w:rPr>
        <w:t xml:space="preserve">of Commission calculations and payments. Upon at least ten (10) Business Days’ prior written notice to the Provider, the Introducer may request an audit (no more frequently than once per year) of the relevant books and records of the Provider that relate t</w:t>
      </w:r>
      <w:r>
        <w:rPr>
          <w:rFonts w:ascii="Times New Roman" w:hAnsi="Times New Roman" w:eastAsia="Times New Roman" w:cs="Times New Roman"/>
          <w:sz w:val="21"/>
          <w:szCs w:val="21"/>
          <w:lang w:val="en-US" w:eastAsia="ru-RU"/>
        </w:rPr>
        <w:t xml:space="preserve">o the calculation of Commissions under this Agreement. Any such audit shall be conducted during normal business hours, by an independent auditor selected by the Introducer and reasonably acceptable to the Provider, and shall be structured so as not to unre</w:t>
      </w:r>
      <w:r>
        <w:rPr>
          <w:rFonts w:ascii="Times New Roman" w:hAnsi="Times New Roman" w:eastAsia="Times New Roman" w:cs="Times New Roman"/>
          <w:sz w:val="21"/>
          <w:szCs w:val="21"/>
          <w:lang w:val="en-US" w:eastAsia="ru-RU"/>
        </w:rPr>
        <w:t xml:space="preserve">asonably interfere with the Provider’s business operations. The Provider shall cooperate with any such audit request by providing timely access to relevant records. The Introducer shall bear the cost of any such audit, unless the audit reveals an underpaym</w:t>
      </w:r>
      <w:r>
        <w:rPr>
          <w:rFonts w:ascii="Times New Roman" w:hAnsi="Times New Roman" w:eastAsia="Times New Roman" w:cs="Times New Roman"/>
          <w:sz w:val="21"/>
          <w:szCs w:val="21"/>
          <w:lang w:val="en-US" w:eastAsia="ru-RU"/>
        </w:rPr>
        <w:t xml:space="preserve">ent of Commission by more than five percent (5%) for the period audited, in which case the Provider shall promptly reimburse the Introducer for the reasonable costs of the audit, in addition to promptly paying any amount of underpaid Commission identified.</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5. Introducer’s Rights in Client Relationships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5.1 Participation in Communications and Conflict Resolution:</w:t>
      </w:r>
      <w:r>
        <w:rPr>
          <w:rFonts w:ascii="Times New Roman" w:hAnsi="Times New Roman" w:eastAsia="Times New Roman" w:cs="Times New Roman"/>
          <w:sz w:val="21"/>
          <w:szCs w:val="21"/>
          <w:lang w:val="en-US" w:eastAsia="ru-RU"/>
        </w:rPr>
        <w:t xml:space="preserve"> The Introducer shall have the right, at its request, to participate in communications between the Provider and any Introduced Client. In practice, this means the Introducer may </w:t>
      </w:r>
      <w:r>
        <w:rPr>
          <w:rFonts w:ascii="Times New Roman" w:hAnsi="Times New Roman" w:eastAsia="Times New Roman" w:cs="Times New Roman"/>
          <w:sz w:val="21"/>
          <w:szCs w:val="21"/>
          <w:lang w:val="en-US" w:eastAsia="ru-RU"/>
        </w:rPr>
        <w:t xml:space="preserve">be included in meetings, conference calls, or correspondence involving the Introduced Client, to the extent such inclusion is reasonably feasible. The Provider shall keep the Introducer reasonably informed of significant communications or developments conc</w:t>
      </w:r>
      <w:r>
        <w:rPr>
          <w:rFonts w:ascii="Times New Roman" w:hAnsi="Times New Roman" w:eastAsia="Times New Roman" w:cs="Times New Roman"/>
          <w:sz w:val="21"/>
          <w:szCs w:val="21"/>
          <w:lang w:val="en-US" w:eastAsia="ru-RU"/>
        </w:rPr>
        <w:t xml:space="preserve">erning each Introduced Client. In the event of any dispute or conflict between the Provider and an Introduced Client, the Introducer shall have the right to be involved in efforts to resolve such issues, and the Provider shall in good faith allow the Intro</w:t>
      </w:r>
      <w:r>
        <w:rPr>
          <w:rFonts w:ascii="Times New Roman" w:hAnsi="Times New Roman" w:eastAsia="Times New Roman" w:cs="Times New Roman"/>
          <w:sz w:val="21"/>
          <w:szCs w:val="21"/>
          <w:lang w:val="en-US" w:eastAsia="ru-RU"/>
        </w:rPr>
        <w:t xml:space="preserve">ducer to assist in communications or meetings aimed at resolving the conflict. Both Parties agree to cooperate in good faith in resolving any conflicts with Introduced Clients, recognizing the Introducer’s relationship with and understanding of the client.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5.2 No Markup Without Consent:</w:t>
      </w:r>
      <w:r>
        <w:rPr>
          <w:rFonts w:ascii="Times New Roman" w:hAnsi="Times New Roman" w:eastAsia="Times New Roman" w:cs="Times New Roman"/>
          <w:sz w:val="21"/>
          <w:szCs w:val="21"/>
          <w:lang w:val="en-US" w:eastAsia="ru-RU"/>
        </w:rPr>
        <w:t xml:space="preserve"> The Provider shall not apply any markup, surcharge, or increase to its standard fees or prices for services offered to an Introduced Client without the prior written conse</w:t>
      </w:r>
      <w:r>
        <w:rPr>
          <w:rFonts w:ascii="Times New Roman" w:hAnsi="Times New Roman" w:eastAsia="Times New Roman" w:cs="Times New Roman"/>
          <w:sz w:val="21"/>
          <w:szCs w:val="21"/>
          <w:lang w:val="en-US" w:eastAsia="ru-RU"/>
        </w:rPr>
        <w:t xml:space="preserve">nt of the Introducer. Any pricing or fee arrangement for an Introduced Client that deviates from the Provider’s standard pricing for comparable services must be agreed in advance in writing by the Introducer. In other words, the Provider may not charge an </w:t>
      </w:r>
      <w:r>
        <w:rPr>
          <w:rFonts w:ascii="Times New Roman" w:hAnsi="Times New Roman" w:eastAsia="Times New Roman" w:cs="Times New Roman"/>
          <w:sz w:val="21"/>
          <w:szCs w:val="21"/>
          <w:lang w:val="en-US" w:eastAsia="ru-RU"/>
        </w:rPr>
        <w:t xml:space="preserve">Introduced Client higher fees</w:t>
      </w:r>
      <w:r>
        <w:rPr>
          <w:rFonts w:ascii="Times New Roman" w:hAnsi="Times New Roman" w:eastAsia="Times New Roman" w:cs="Times New Roman"/>
          <w:sz w:val="21"/>
          <w:szCs w:val="21"/>
          <w:lang w:val="en-US" w:eastAsia="ru-RU"/>
        </w:rPr>
        <w:t xml:space="preserve"> (whether to cover the Commission or</w:t>
      </w:r>
      <w:r>
        <w:rPr>
          <w:rFonts w:ascii="Times New Roman" w:hAnsi="Times New Roman" w:eastAsia="Times New Roman" w:cs="Times New Roman"/>
          <w:sz w:val="21"/>
          <w:szCs w:val="21"/>
          <w:lang w:val="en-US" w:eastAsia="ru-RU"/>
        </w:rPr>
        <w:t xml:space="preserve"> for any other reason) unless the Introducer has approved such markup in writing. The Parties shall discuss and mutually agree in writing to any special fee terms or markups for Introduced Clients, ensuring transparency in pricing offered to those clients.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6. Confidentiality</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6.1 Non-Disclosure:</w:t>
      </w:r>
      <w:r>
        <w:rPr>
          <w:rFonts w:ascii="Times New Roman" w:hAnsi="Times New Roman" w:eastAsia="Times New Roman" w:cs="Times New Roman"/>
          <w:sz w:val="21"/>
          <w:szCs w:val="21"/>
          <w:lang w:val="en-US" w:eastAsia="ru-RU"/>
        </w:rPr>
        <w:t xml:space="preserve"> Ea</w:t>
      </w:r>
      <w:r>
        <w:rPr>
          <w:rFonts w:ascii="Times New Roman" w:hAnsi="Times New Roman" w:eastAsia="Times New Roman" w:cs="Times New Roman"/>
          <w:sz w:val="21"/>
          <w:szCs w:val="21"/>
          <w:lang w:val="en-US" w:eastAsia="ru-RU"/>
        </w:rPr>
        <w:t xml:space="preserve">ch Party (the “Receiving Party”) shall keep confidential and shall not disclose to any third party any Confidential Information received from or on behalf of the other Party (the “Disclosing Party”), except as expressly permitted by this Agreement. The Rec</w:t>
      </w:r>
      <w:r>
        <w:rPr>
          <w:rFonts w:ascii="Times New Roman" w:hAnsi="Times New Roman" w:eastAsia="Times New Roman" w:cs="Times New Roman"/>
          <w:sz w:val="21"/>
          <w:szCs w:val="21"/>
          <w:lang w:val="en-US" w:eastAsia="ru-RU"/>
        </w:rPr>
        <w:t xml:space="preserve">eiving Party agrees to use the Disclosing Party’s Confidential Information solely for the purpose of fulfilling its obligations or exercising its rights under this Agreement (including facilitating or servicing Introduced Clients) and for no other purpose.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6.2 Permitted Disclosures:</w:t>
      </w:r>
      <w:r>
        <w:rPr>
          <w:rFonts w:ascii="Times New Roman" w:hAnsi="Times New Roman" w:eastAsia="Times New Roman" w:cs="Times New Roman"/>
          <w:sz w:val="21"/>
          <w:szCs w:val="21"/>
          <w:lang w:val="en-US" w:eastAsia="ru-RU"/>
        </w:rPr>
        <w:t xml:space="preserve"> Notwithstanding Clause 6.1, a Receiving Party may disclose Confidential Information of the Disclosing Party only under the following circumstances:</w:t>
      </w:r>
      <w:r>
        <w:rPr>
          <w:rFonts w:ascii="Times New Roman" w:hAnsi="Times New Roman" w:eastAsia="Times New Roman" w:cs="Times New Roman"/>
          <w:sz w:val="21"/>
          <w:szCs w:val="21"/>
          <w:lang w:val="en-US" w:eastAsia="ru-RU"/>
        </w:rPr>
        <w:br/>
        <w:t xml:space="preserve">(a) </w:t>
      </w:r>
      <w:r>
        <w:rPr>
          <w:rFonts w:ascii="Times New Roman" w:hAnsi="Times New Roman" w:eastAsia="Times New Roman" w:cs="Times New Roman"/>
          <w:b/>
          <w:bCs/>
          <w:sz w:val="21"/>
          <w:szCs w:val="21"/>
          <w:lang w:val="en-US" w:eastAsia="ru-RU"/>
        </w:rPr>
        <w:t xml:space="preserve">Internal and Affiliate Recipients:</w:t>
      </w:r>
      <w:r>
        <w:rPr>
          <w:rFonts w:ascii="Times New Roman" w:hAnsi="Times New Roman" w:eastAsia="Times New Roman" w:cs="Times New Roman"/>
          <w:sz w:val="21"/>
          <w:szCs w:val="21"/>
          <w:lang w:val="en-US" w:eastAsia="ru-RU"/>
        </w:rPr>
        <w:t xml:space="preserve"> To those directors, officers, employees, agents, contractors, or professional advisors of the Receiving Party (including its affiliates) who have a legitimate need to know the information for the purposes of this Agreement, </w:t>
      </w:r>
      <w:r>
        <w:rPr>
          <w:rFonts w:ascii="Times New Roman" w:hAnsi="Times New Roman" w:eastAsia="Times New Roman" w:cs="Times New Roman"/>
          <w:b/>
          <w:bCs/>
          <w:sz w:val="21"/>
          <w:szCs w:val="21"/>
          <w:lang w:val="en-US" w:eastAsia="ru-RU"/>
        </w:rPr>
        <w:t xml:space="preserve">provided</w:t>
      </w:r>
      <w:r>
        <w:rPr>
          <w:rFonts w:ascii="Times New Roman" w:hAnsi="Times New Roman" w:eastAsia="Times New Roman" w:cs="Times New Roman"/>
          <w:sz w:val="21"/>
          <w:szCs w:val="21"/>
          <w:lang w:val="en-US" w:eastAsia="ru-RU"/>
        </w:rPr>
        <w:t xml:space="preserve"> that each such recipient is bound by confidentiality obligations at least as protective as those contained in this Agreement. The Receiving Party shall remain liable for any unauthorized disclosure or use of Confidential Information by any such recipient.</w:t>
      </w:r>
      <w:r>
        <w:rPr>
          <w:rFonts w:ascii="Times New Roman" w:hAnsi="Times New Roman" w:eastAsia="Times New Roman" w:cs="Times New Roman"/>
          <w:sz w:val="21"/>
          <w:szCs w:val="21"/>
          <w:lang w:val="en-US" w:eastAsia="ru-RU"/>
        </w:rPr>
        <w:br/>
        <w:t xml:space="preserve">(b) </w:t>
      </w:r>
      <w:r>
        <w:rPr>
          <w:rFonts w:ascii="Times New Roman" w:hAnsi="Times New Roman" w:eastAsia="Times New Roman" w:cs="Times New Roman"/>
          <w:b/>
          <w:bCs/>
          <w:sz w:val="21"/>
          <w:szCs w:val="21"/>
          <w:lang w:val="en-US" w:eastAsia="ru-RU"/>
        </w:rPr>
        <w:t xml:space="preserve">Disclosure Required by Law:</w:t>
      </w:r>
      <w:r>
        <w:rPr>
          <w:rFonts w:ascii="Times New Roman" w:hAnsi="Times New Roman" w:eastAsia="Times New Roman" w:cs="Times New Roman"/>
          <w:sz w:val="21"/>
          <w:szCs w:val="21"/>
          <w:lang w:val="en-US" w:eastAsia="ru-RU"/>
        </w:rPr>
        <w:t xml:space="preserve"> To the extent required by law, regulation, or a valid order of a court or other governmental authority or regulatory body with jurisdiction over the Receiving Party. In such case, the </w:t>
      </w:r>
      <w:r>
        <w:rPr>
          <w:rFonts w:ascii="Times New Roman" w:hAnsi="Times New Roman" w:eastAsia="Times New Roman" w:cs="Times New Roman"/>
          <w:sz w:val="21"/>
          <w:szCs w:val="21"/>
          <w:lang w:val="en-US" w:eastAsia="ru-RU"/>
        </w:rPr>
        <w:t xml:space="preserve">Receiving Party shall (to the extent legally permitted) give prompt written notice to the Disclosing Party of the requirement so that</w:t>
      </w:r>
      <w:r>
        <w:rPr>
          <w:rFonts w:ascii="Times New Roman" w:hAnsi="Times New Roman" w:eastAsia="Times New Roman" w:cs="Times New Roman"/>
          <w:sz w:val="21"/>
          <w:szCs w:val="21"/>
          <w:lang w:val="en-US" w:eastAsia="ru-RU"/>
        </w:rPr>
        <w:t xml:space="preserve"> the Disclosing Party may seek a protective order or other appropriate remedy to prevent or limit such disclosure. The Receiving Party shall cooperate with the Disclosing Party (at the Disclosing Party’s expense) in seeking such protective order or remedy.</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(c) </w:t>
      </w:r>
      <w:r>
        <w:rPr>
          <w:rFonts w:ascii="Times New Roman" w:hAnsi="Times New Roman" w:eastAsia="Times New Roman" w:cs="Times New Roman"/>
          <w:b/>
          <w:bCs/>
          <w:sz w:val="21"/>
          <w:szCs w:val="21"/>
          <w:lang w:val="en-US" w:eastAsia="ru-RU"/>
        </w:rPr>
        <w:t xml:space="preserve">Information in the Public Domain:</w:t>
      </w:r>
      <w:r>
        <w:rPr>
          <w:rFonts w:ascii="Times New Roman" w:hAnsi="Times New Roman" w:eastAsia="Times New Roman" w:cs="Times New Roman"/>
          <w:sz w:val="21"/>
          <w:szCs w:val="21"/>
          <w:lang w:val="en-US" w:eastAsia="ru-RU"/>
        </w:rPr>
        <w:t xml:space="preserve"> To the extent that the Confidential Information has become publicly available or generally known in the industry through no breach of this Agreement by the Receiving Party. For clarity, specific information shall not be considered public me</w:t>
      </w:r>
      <w:r>
        <w:rPr>
          <w:rFonts w:ascii="Times New Roman" w:hAnsi="Times New Roman" w:eastAsia="Times New Roman" w:cs="Times New Roman"/>
          <w:sz w:val="21"/>
          <w:szCs w:val="21"/>
          <w:lang w:val="en-US" w:eastAsia="ru-RU"/>
        </w:rPr>
        <w:t xml:space="preserve">rely because it is encompassed by more general information that is public; and any combination of features shall not be considered public domain information merely because the individual features are public, unless the combination itself is publicly known.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(d) </w:t>
      </w:r>
      <w:r>
        <w:rPr>
          <w:rFonts w:ascii="Times New Roman" w:hAnsi="Times New Roman" w:eastAsia="Times New Roman" w:cs="Times New Roman"/>
          <w:b/>
          <w:bCs/>
          <w:sz w:val="21"/>
          <w:szCs w:val="21"/>
          <w:lang w:val="en-US" w:eastAsia="ru-RU"/>
        </w:rPr>
        <w:t xml:space="preserve">Information Rightfully Known or Independently Developed:</w:t>
      </w:r>
      <w:r>
        <w:rPr>
          <w:rFonts w:ascii="Times New Roman" w:hAnsi="Times New Roman" w:eastAsia="Times New Roman" w:cs="Times New Roman"/>
          <w:sz w:val="21"/>
          <w:szCs w:val="21"/>
          <w:lang w:val="en-US" w:eastAsia="ru-RU"/>
        </w:rPr>
        <w:t xml:space="preserve"> If the Receiving Party can demonstrate that the Confidential Information (</w:t>
      </w:r>
      <w:r>
        <w:rPr>
          <w:rFonts w:ascii="Times New Roman" w:hAnsi="Times New Roman" w:eastAsia="Times New Roman" w:cs="Times New Roman"/>
          <w:sz w:val="21"/>
          <w:szCs w:val="21"/>
          <w:lang w:val="en-US" w:eastAsia="ru-RU"/>
        </w:rPr>
        <w:t xml:space="preserve">i</w:t>
      </w:r>
      <w:r>
        <w:rPr>
          <w:rFonts w:ascii="Times New Roman" w:hAnsi="Times New Roman" w:eastAsia="Times New Roman" w:cs="Times New Roman"/>
          <w:sz w:val="21"/>
          <w:szCs w:val="21"/>
          <w:lang w:val="en-US" w:eastAsia="ru-RU"/>
        </w:rPr>
        <w:t xml:space="preserve">) was already known to or in the po</w:t>
      </w:r>
      <w:r>
        <w:rPr>
          <w:rFonts w:ascii="Times New Roman" w:hAnsi="Times New Roman" w:eastAsia="Times New Roman" w:cs="Times New Roman"/>
          <w:sz w:val="21"/>
          <w:szCs w:val="21"/>
          <w:lang w:val="en-US" w:eastAsia="ru-RU"/>
        </w:rPr>
        <w:t xml:space="preserve">ssession of the Receiving Party without an obligation of confidentiality prior to disclosure by the Disclosing Party, or (ii) was independently developed by the Receiving Party without reference to or use of the Disclosing Party’s Confidential Information.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6.3 Confidentiality of Agreement and Client Information:</w:t>
      </w:r>
      <w:r>
        <w:rPr>
          <w:rFonts w:ascii="Times New Roman" w:hAnsi="Times New Roman" w:eastAsia="Times New Roman" w:cs="Times New Roman"/>
          <w:sz w:val="21"/>
          <w:szCs w:val="21"/>
          <w:lang w:val="en-US" w:eastAsia="ru-RU"/>
        </w:rPr>
        <w:t xml:space="preserve"> The Parties agree that the existence and terms of this Agreement, and any information regarding any Prospective Clients or Introduced Clients (including their identities and any dealings or contracts between the Provider and them), shall be tre</w:t>
      </w:r>
      <w:r>
        <w:rPr>
          <w:rFonts w:ascii="Times New Roman" w:hAnsi="Times New Roman" w:eastAsia="Times New Roman" w:cs="Times New Roman"/>
          <w:sz w:val="21"/>
          <w:szCs w:val="21"/>
          <w:lang w:val="en-US" w:eastAsia="ru-RU"/>
        </w:rPr>
        <w:t xml:space="preserve">ated as Confidential Information. The Introducer shall not disclose to any third party the identity of or any information about a particular client being an Introduced Client of the Provider, except with the Provider’s prior written consent or as required </w:t>
      </w:r>
      <w:r>
        <w:rPr>
          <w:rFonts w:ascii="Times New Roman" w:hAnsi="Times New Roman" w:eastAsia="Times New Roman" w:cs="Times New Roman"/>
          <w:sz w:val="21"/>
          <w:szCs w:val="21"/>
          <w:lang w:val="en-US" w:eastAsia="ru-RU"/>
        </w:rPr>
        <w:t xml:space="preserve">by law. Likewise, the Provider shall not disclose that it is paying any Commission to the Introducer, nor disclose the specific terms of such payment, except as required by law or regulation (including for legitimate financial reporting or audit purposes).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6.4 Return or Destruction:</w:t>
      </w:r>
      <w:r>
        <w:rPr>
          <w:rFonts w:ascii="Times New Roman" w:hAnsi="Times New Roman" w:eastAsia="Times New Roman" w:cs="Times New Roman"/>
          <w:sz w:val="21"/>
          <w:szCs w:val="21"/>
          <w:lang w:val="en-US" w:eastAsia="ru-RU"/>
        </w:rPr>
        <w:t xml:space="preserve"> Upon the earlier of (</w:t>
      </w:r>
      <w:r>
        <w:rPr>
          <w:rFonts w:ascii="Times New Roman" w:hAnsi="Times New Roman" w:eastAsia="Times New Roman" w:cs="Times New Roman"/>
          <w:sz w:val="21"/>
          <w:szCs w:val="21"/>
          <w:lang w:val="en-US" w:eastAsia="ru-RU"/>
        </w:rPr>
        <w:t xml:space="preserve">i</w:t>
      </w:r>
      <w:r>
        <w:rPr>
          <w:rFonts w:ascii="Times New Roman" w:hAnsi="Times New Roman" w:eastAsia="Times New Roman" w:cs="Times New Roman"/>
          <w:sz w:val="21"/>
          <w:szCs w:val="21"/>
          <w:lang w:val="en-US" w:eastAsia="ru-RU"/>
        </w:rPr>
        <w:t xml:space="preserve">) the Disclosing Party’s written request, or (ii) the termination of this Agreement, the Receiving Party shall promptly return to the Disclosing Party or, at the Disc</w:t>
      </w:r>
      <w:r>
        <w:rPr>
          <w:rFonts w:ascii="Times New Roman" w:hAnsi="Times New Roman" w:eastAsia="Times New Roman" w:cs="Times New Roman"/>
          <w:sz w:val="21"/>
          <w:szCs w:val="21"/>
          <w:lang w:val="en-US" w:eastAsia="ru-RU"/>
        </w:rPr>
        <w:t xml:space="preserve">losing Party’s option, destroy all documents, materials, and electronic files in its possession or control that contain any of the Disclosing Party’s Confidential Information. If requested by the Disclosing Party, the Receiving Party shall certify in writi</w:t>
      </w:r>
      <w:r>
        <w:rPr>
          <w:rFonts w:ascii="Times New Roman" w:hAnsi="Times New Roman" w:eastAsia="Times New Roman" w:cs="Times New Roman"/>
          <w:sz w:val="21"/>
          <w:szCs w:val="21"/>
          <w:lang w:val="en-US" w:eastAsia="ru-RU"/>
        </w:rPr>
        <w:t xml:space="preserve">ng that such Confidential Information has been destroyed. Notwithstanding the foregoing, the Receiving Party may retain one archival copy of the Disclosing Party’s Confidential Information if required for legal or regulatory compliance or backup purposes, </w:t>
      </w:r>
      <w:r>
        <w:rPr>
          <w:rFonts w:ascii="Times New Roman" w:hAnsi="Times New Roman" w:eastAsia="Times New Roman" w:cs="Times New Roman"/>
          <w:b/>
          <w:bCs/>
          <w:sz w:val="21"/>
          <w:szCs w:val="21"/>
          <w:lang w:val="en-US" w:eastAsia="ru-RU"/>
        </w:rPr>
        <w:t xml:space="preserve">provided</w:t>
      </w:r>
      <w:r>
        <w:rPr>
          <w:rFonts w:ascii="Times New Roman" w:hAnsi="Times New Roman" w:eastAsia="Times New Roman" w:cs="Times New Roman"/>
          <w:sz w:val="21"/>
          <w:szCs w:val="21"/>
          <w:lang w:val="en-US" w:eastAsia="ru-RU"/>
        </w:rPr>
        <w:t xml:space="preserve"> that any such retained copy remains subject to the confidentiality obligations of this Agreement for as long as it is retained.</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6.5 Survival of Confidentiality Obligations:</w:t>
      </w:r>
      <w:r>
        <w:rPr>
          <w:rFonts w:ascii="Times New Roman" w:hAnsi="Times New Roman" w:eastAsia="Times New Roman" w:cs="Times New Roman"/>
          <w:sz w:val="21"/>
          <w:szCs w:val="21"/>
          <w:lang w:val="en-US" w:eastAsia="ru-RU"/>
        </w:rPr>
        <w:t xml:space="preserve"> The provisions of this Clause 6 (Confidentiality) shall survive the</w:t>
      </w:r>
      <w:r>
        <w:rPr>
          <w:rFonts w:ascii="Times New Roman" w:hAnsi="Times New Roman" w:eastAsia="Times New Roman" w:cs="Times New Roman"/>
          <w:sz w:val="21"/>
          <w:szCs w:val="21"/>
          <w:lang w:val="en-US" w:eastAsia="ru-RU"/>
        </w:rPr>
        <w:t xml:space="preserve"> expiration or termination of this Agreement. Each Party’s obligations of confidentiality under this Agreement shall continue indefinitely (and, at a minimum, for as long as the information in question remains non-public and confidential), until such time </w:t>
      </w:r>
      <w:r>
        <w:rPr>
          <w:rFonts w:ascii="Times New Roman" w:hAnsi="Times New Roman" w:eastAsia="Times New Roman" w:cs="Times New Roman"/>
          <w:sz w:val="21"/>
          <w:szCs w:val="21"/>
          <w:lang w:val="en-US" w:eastAsia="ru-RU"/>
        </w:rPr>
        <w:t xml:space="preserve">as the Confidential Information in question lawfully becomes public or non-confidential through no action or fault of the Receiving Party, or until the Disclosing Party expressly releases the Receiving Party from its confidentiality obligations in writing.</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7. No Assignment</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Neither Party may assign, transfer, delegate, or subcontract any of its rights or obligations under this Agreement to any third party without the prior written consent</w:t>
      </w:r>
      <w:r>
        <w:rPr>
          <w:rFonts w:ascii="Times New Roman" w:hAnsi="Times New Roman" w:eastAsia="Times New Roman" w:cs="Times New Roman"/>
          <w:sz w:val="21"/>
          <w:szCs w:val="21"/>
          <w:lang w:val="en-US" w:eastAsia="ru-RU"/>
        </w:rPr>
        <w:t xml:space="preserve"> of the other Party. Any attempted assignment or transfer in violation of this clause shall be null, void, and of no effect. This Agreement shall be binding upon and inure to the benefit of the Parties and their respective permitted successors and assigns.</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8. Term and Termination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8.1 Term:</w:t>
      </w:r>
      <w:r>
        <w:rPr>
          <w:rFonts w:ascii="Times New Roman" w:hAnsi="Times New Roman" w:eastAsia="Times New Roman" w:cs="Times New Roman"/>
          <w:sz w:val="21"/>
          <w:szCs w:val="21"/>
          <w:lang w:val="en-US" w:eastAsia="ru-RU"/>
        </w:rPr>
        <w:t xml:space="preserve"> This Agreement shall commence on the date first written above (the “Commenc</w:t>
      </w:r>
      <w:r>
        <w:rPr>
          <w:rFonts w:ascii="Times New Roman" w:hAnsi="Times New Roman" w:eastAsia="Times New Roman" w:cs="Times New Roman"/>
          <w:sz w:val="21"/>
          <w:szCs w:val="21"/>
          <w:lang w:val="en-US" w:eastAsia="ru-RU"/>
        </w:rPr>
        <w:t xml:space="preserve">ement Date”) and shall continue in force unless and until terminated by either Party in accordance with this Clause 8. The Parties acknowledge that, subject to the termination provisions below, there is no fixed end date for the duration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8.2 Termination for Convenience:</w:t>
      </w:r>
      <w:r>
        <w:rPr>
          <w:rFonts w:ascii="Times New Roman" w:hAnsi="Times New Roman" w:eastAsia="Times New Roman" w:cs="Times New Roman"/>
          <w:sz w:val="21"/>
          <w:szCs w:val="21"/>
          <w:lang w:val="en-US" w:eastAsia="ru-RU"/>
        </w:rPr>
        <w:t xml:space="preserve"> Either Party may t</w:t>
      </w:r>
      <w:r>
        <w:rPr>
          <w:rFonts w:ascii="Times New Roman" w:hAnsi="Times New Roman" w:eastAsia="Times New Roman" w:cs="Times New Roman"/>
          <w:sz w:val="21"/>
          <w:szCs w:val="21"/>
          <w:lang w:val="en-US" w:eastAsia="ru-RU"/>
        </w:rPr>
        <w:t xml:space="preserve">erminate this Agreement for convenience (without cause) at any time by giving at least thirty (30) days’ prior written notice of termination to the other Party. Additionally, the Parties may terminate this Agreement at any time by mutual written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8.3 Termination for Cause:</w:t>
      </w:r>
      <w:r>
        <w:rPr>
          <w:rFonts w:ascii="Times New Roman" w:hAnsi="Times New Roman" w:eastAsia="Times New Roman" w:cs="Times New Roman"/>
          <w:sz w:val="21"/>
          <w:szCs w:val="21"/>
          <w:lang w:val="en-US" w:eastAsia="ru-RU"/>
        </w:rPr>
        <w:t xml:space="preserve"> Either Party may terminate this Agreement immediately by giving written notice to the other Party upon the occurrence of any of the following events: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(a) </w:t>
      </w:r>
      <w:r>
        <w:rPr>
          <w:rFonts w:ascii="Times New Roman" w:hAnsi="Times New Roman" w:eastAsia="Times New Roman" w:cs="Times New Roman"/>
          <w:b/>
          <w:bCs/>
          <w:sz w:val="21"/>
          <w:szCs w:val="21"/>
          <w:lang w:val="en-US" w:eastAsia="ru-RU"/>
        </w:rPr>
        <w:t xml:space="preserve">Material Breach:</w:t>
      </w:r>
      <w:r>
        <w:rPr>
          <w:rFonts w:ascii="Times New Roman" w:hAnsi="Times New Roman" w:eastAsia="Times New Roman" w:cs="Times New Roman"/>
          <w:sz w:val="21"/>
          <w:szCs w:val="21"/>
          <w:lang w:val="en-US" w:eastAsia="ru-RU"/>
        </w:rPr>
        <w:t xml:space="preserve"> The other Party commits a material breach of any provision of this Agreement, which (if capable of remedy) is not cured within fifteen (15) days after the breaching Party has been given written notice specifying the breach and requiring its remedy.</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(b) </w:t>
      </w:r>
      <w:r>
        <w:rPr>
          <w:rFonts w:ascii="Times New Roman" w:hAnsi="Times New Roman" w:eastAsia="Times New Roman" w:cs="Times New Roman"/>
          <w:b/>
          <w:bCs/>
          <w:sz w:val="21"/>
          <w:szCs w:val="21"/>
          <w:lang w:val="en-US" w:eastAsia="ru-RU"/>
        </w:rPr>
        <w:t xml:space="preserve">Insolvency or Bankruptcy:</w:t>
      </w:r>
      <w:r>
        <w:rPr>
          <w:rFonts w:ascii="Times New Roman" w:hAnsi="Times New Roman" w:eastAsia="Times New Roman" w:cs="Times New Roman"/>
          <w:sz w:val="21"/>
          <w:szCs w:val="21"/>
          <w:lang w:val="en-US" w:eastAsia="ru-RU"/>
        </w:rPr>
        <w:t xml:space="preserve"> The other Party becomes insolvent or unable to pay its debts as they fall due; or any step is taken with a view to the appointment of an administrator, receiver, liquida</w:t>
      </w:r>
      <w:r>
        <w:rPr>
          <w:rFonts w:ascii="Times New Roman" w:hAnsi="Times New Roman" w:eastAsia="Times New Roman" w:cs="Times New Roman"/>
          <w:sz w:val="21"/>
          <w:szCs w:val="21"/>
          <w:lang w:val="en-US" w:eastAsia="ru-RU"/>
        </w:rPr>
        <w:t xml:space="preserve">tor, or similar officer over any substantial part of the other Party’s assets or business; or the other Party makes any composition or arrangement with its creditors, enters into liquidation (whether voluntary or compulsory) or ceases to carry on business.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(c) </w:t>
      </w:r>
      <w:r>
        <w:rPr>
          <w:rFonts w:ascii="Times New Roman" w:hAnsi="Times New Roman" w:eastAsia="Times New Roman" w:cs="Times New Roman"/>
          <w:b/>
          <w:bCs/>
          <w:sz w:val="21"/>
          <w:szCs w:val="21"/>
          <w:lang w:val="en-US" w:eastAsia="ru-RU"/>
        </w:rPr>
        <w:t xml:space="preserve">Regulatory Compliance Issues:</w:t>
      </w:r>
      <w:r>
        <w:rPr>
          <w:rFonts w:ascii="Times New Roman" w:hAnsi="Times New Roman" w:eastAsia="Times New Roman" w:cs="Times New Roman"/>
          <w:sz w:val="21"/>
          <w:szCs w:val="21"/>
          <w:lang w:val="en-US" w:eastAsia="ru-RU"/>
        </w:rPr>
        <w:t xml:space="preserve"> The other Party loses any license, authorization, or </w:t>
      </w:r>
      <w:r>
        <w:rPr>
          <w:rFonts w:ascii="Times New Roman" w:hAnsi="Times New Roman" w:eastAsia="Times New Roman" w:cs="Times New Roman"/>
          <w:sz w:val="21"/>
          <w:szCs w:val="21"/>
          <w:lang w:val="en-US" w:eastAsia="ru-RU"/>
        </w:rPr>
        <w:t xml:space="preserve">regulatory status required to perform its obligations under this Agreement, or engages in unlawful activities or serious misconduct that would materially impair the terminating Party’s willingness to continue the business relationship under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8.4 Obligations upon Termination:</w:t>
      </w:r>
      <w:r>
        <w:rPr>
          <w:rFonts w:ascii="Times New Roman" w:hAnsi="Times New Roman" w:eastAsia="Times New Roman" w:cs="Times New Roman"/>
          <w:sz w:val="21"/>
          <w:szCs w:val="21"/>
          <w:lang w:val="en-US" w:eastAsia="ru-RU"/>
        </w:rPr>
        <w:t xml:space="preserve"> Upon termination of this Agreement for any reason, the Introducer shall immediately cease presenting or referring any new Prospective Clients to the Provider. The Provider shall promptly pay any outsta</w:t>
      </w:r>
      <w:r>
        <w:rPr>
          <w:rFonts w:ascii="Times New Roman" w:hAnsi="Times New Roman" w:eastAsia="Times New Roman" w:cs="Times New Roman"/>
          <w:sz w:val="21"/>
          <w:szCs w:val="21"/>
          <w:lang w:val="en-US" w:eastAsia="ru-RU"/>
        </w:rPr>
        <w:t xml:space="preserve">nding Commission owed up to the effective date of termination (including any Commission that has been invoiced or is otherwise due and payable for any completed quarter or part thereof). Each Party shall, within a reasonable period following termination, r</w:t>
      </w:r>
      <w:r>
        <w:rPr>
          <w:rFonts w:ascii="Times New Roman" w:hAnsi="Times New Roman" w:eastAsia="Times New Roman" w:cs="Times New Roman"/>
          <w:sz w:val="21"/>
          <w:szCs w:val="21"/>
          <w:lang w:val="en-US" w:eastAsia="ru-RU"/>
        </w:rPr>
        <w:t xml:space="preserve">eturn or destroy the other Party’s Confidential Information as required by Clause 6.4 above. Termination of this Agreement shall not affect any rights, obligations or liabilities that have accrued to either Party prior to the effective date of termination.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8.5 Commission Entitlements After Termination:</w:t>
      </w:r>
      <w:r>
        <w:rPr>
          <w:rFonts w:ascii="Times New Roman" w:hAnsi="Times New Roman" w:eastAsia="Times New Roman" w:cs="Times New Roman"/>
          <w:sz w:val="21"/>
          <w:szCs w:val="21"/>
          <w:lang w:val="en-US" w:eastAsia="ru-RU"/>
        </w:rPr>
        <w:t xml:space="preserve"> Termination of this Agreement shall not affect the Introducer’s right to receive any Commission that has accrued or that would accrue as a re</w:t>
      </w:r>
      <w:r>
        <w:rPr>
          <w:rFonts w:ascii="Times New Roman" w:hAnsi="Times New Roman" w:eastAsia="Times New Roman" w:cs="Times New Roman"/>
          <w:sz w:val="21"/>
          <w:szCs w:val="21"/>
          <w:lang w:val="en-US" w:eastAsia="ru-RU"/>
        </w:rPr>
        <w:t xml:space="preserve">sult of any Successful Introductions made before the effective termination date. In particular, if the Introducer had introduced a Prospective Client to the Provider prior to termination, and that Prospective Client enters into an Applicable Contract with </w:t>
      </w:r>
      <w:r>
        <w:rPr>
          <w:rFonts w:ascii="Times New Roman" w:hAnsi="Times New Roman" w:eastAsia="Times New Roman" w:cs="Times New Roman"/>
          <w:sz w:val="21"/>
          <w:szCs w:val="21"/>
          <w:lang w:val="en-US" w:eastAsia="ru-RU"/>
        </w:rPr>
        <w:t xml:space="preserve">the Provider within [six (6)] months after the termination date (or within the applicable Introduction Time Limit for that introduction, if longer), then the Provider shall pay the Introducer the corresponding Commission as if this Agreement were still in </w:t>
      </w:r>
      <w:r>
        <w:rPr>
          <w:rFonts w:ascii="Times New Roman" w:hAnsi="Times New Roman" w:eastAsia="Times New Roman" w:cs="Times New Roman"/>
          <w:sz w:val="21"/>
          <w:szCs w:val="21"/>
          <w:lang w:val="en-US" w:eastAsia="ru-RU"/>
        </w:rPr>
        <w:t xml:space="preserve">effect. The provisions of this Agreement governing the calculation, reporting, and payment of Commission (including Clause 4 above) shall continue to apply in respect of any such post-termination Applicable Contracts and the Commission resulting therefrom.</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8.6 Survival of Certain Terms:</w:t>
      </w:r>
      <w:r>
        <w:rPr>
          <w:rFonts w:ascii="Times New Roman" w:hAnsi="Times New Roman" w:eastAsia="Times New Roman" w:cs="Times New Roman"/>
          <w:sz w:val="21"/>
          <w:szCs w:val="21"/>
          <w:lang w:val="en-US" w:eastAsia="ru-RU"/>
        </w:rPr>
        <w:t xml:space="preserve"> The following provisions shall survive any expiration or termination of this Agreement: any</w:t>
      </w:r>
      <w:r>
        <w:rPr>
          <w:rFonts w:ascii="Times New Roman" w:hAnsi="Times New Roman" w:eastAsia="Times New Roman" w:cs="Times New Roman"/>
          <w:sz w:val="21"/>
          <w:szCs w:val="21"/>
          <w:lang w:val="en-US" w:eastAsia="ru-RU"/>
        </w:rPr>
        <w:t xml:space="preserve"> payment obligations of the Provider that arose prior to termination or under Clause 8.5; Clause 6 (Confidentiality); Clause 7 (No Assignment); Clause 8.5 and this Clause 8.6 (Post-Termination Rights and Survival); Clause 9 (Governing Law and Dispute Resol</w:t>
      </w:r>
      <w:r>
        <w:rPr>
          <w:rFonts w:ascii="Times New Roman" w:hAnsi="Times New Roman" w:eastAsia="Times New Roman" w:cs="Times New Roman"/>
          <w:sz w:val="21"/>
          <w:szCs w:val="21"/>
          <w:lang w:val="en-US" w:eastAsia="ru-RU"/>
        </w:rPr>
        <w:t xml:space="preserve">ution); Clause 10 (Miscellaneous); and any other clause which by its nature or explicit terms is intended to survive termination. Termination of this Agreement shall not prejudice any other rights or remedies that either Party may have at law or in equity.</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9. Governing Law and Dispute Resolution</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9.1 Governing Law:</w:t>
      </w:r>
      <w:r>
        <w:rPr>
          <w:rFonts w:ascii="Times New Roman" w:hAnsi="Times New Roman" w:eastAsia="Times New Roman" w:cs="Times New Roman"/>
          <w:sz w:val="21"/>
          <w:szCs w:val="21"/>
          <w:lang w:val="en-US" w:eastAsia="ru-RU"/>
        </w:rPr>
        <w:t xml:space="preserve"> This Agreement, and any disputes or claims (including non-contractual disputes or claims) arising out of or in connection with it or its subject matter, shall be governed by and construed in accordance with the laws of the Republic of Cyprus.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9.2 Arbitration:</w:t>
      </w:r>
      <w:r>
        <w:rPr>
          <w:rFonts w:ascii="Times New Roman" w:hAnsi="Times New Roman" w:eastAsia="Times New Roman" w:cs="Times New Roman"/>
          <w:sz w:val="21"/>
          <w:szCs w:val="21"/>
          <w:lang w:val="en-US" w:eastAsia="ru-RU"/>
        </w:rPr>
        <w:t xml:space="preserve"> Any dispute, controversy, or claim arising out of or relating to this Agreement (including any question regarding its existence, validity, or termination) shall be referred to and finally resolved by </w:t>
      </w:r>
      <w:r>
        <w:rPr>
          <w:rFonts w:ascii="Times New Roman" w:hAnsi="Times New Roman" w:eastAsia="Times New Roman" w:cs="Times New Roman"/>
          <w:b/>
          <w:bCs/>
          <w:sz w:val="21"/>
          <w:szCs w:val="21"/>
          <w:lang w:val="en-US" w:eastAsia="ru-RU"/>
        </w:rPr>
        <w:t xml:space="preserve">arbitration</w:t>
      </w:r>
      <w:r>
        <w:rPr>
          <w:rFonts w:ascii="Times New Roman" w:hAnsi="Times New Roman" w:eastAsia="Times New Roman" w:cs="Times New Roman"/>
          <w:sz w:val="21"/>
          <w:szCs w:val="21"/>
          <w:lang w:val="en-US" w:eastAsia="ru-RU"/>
        </w:rPr>
        <w:t xml:space="preserve"> under the auspices of the Cyprus Eurasia Dispute Resolution and Arbitration Centre (</w:t>
      </w:r>
      <w:r>
        <w:rPr>
          <w:rFonts w:ascii="Times New Roman" w:hAnsi="Times New Roman" w:eastAsia="Times New Roman" w:cs="Times New Roman"/>
          <w:b/>
          <w:bCs/>
          <w:sz w:val="21"/>
          <w:szCs w:val="21"/>
          <w:lang w:val="en-US" w:eastAsia="ru-RU"/>
        </w:rPr>
        <w:t xml:space="preserve">CEDRAC</w:t>
      </w:r>
      <w:r>
        <w:rPr>
          <w:rFonts w:ascii="Times New Roman" w:hAnsi="Times New Roman" w:eastAsia="Times New Roman" w:cs="Times New Roman"/>
          <w:sz w:val="21"/>
          <w:szCs w:val="21"/>
          <w:lang w:val="en-US" w:eastAsia="ru-RU"/>
        </w:rPr>
        <w:t xml:space="preserve">). The arbitration shall be conducted in accordance with the CEDRAC Arbitration Rules in force at the time of the dispute, which rules are deemed to be incorporated by reference into this clause. The seat (legal place) of arbitration shall be </w:t>
      </w:r>
      <w:r>
        <w:rPr>
          <w:rFonts w:ascii="Times New Roman" w:hAnsi="Times New Roman" w:eastAsia="Times New Roman" w:cs="Times New Roman"/>
          <w:b/>
          <w:bCs/>
          <w:sz w:val="21"/>
          <w:szCs w:val="21"/>
          <w:lang w:val="en-US" w:eastAsia="ru-RU"/>
        </w:rPr>
        <w:t xml:space="preserve">Nicosia, Cyprus</w:t>
      </w:r>
      <w:r>
        <w:rPr>
          <w:rFonts w:ascii="Times New Roman" w:hAnsi="Times New Roman" w:eastAsia="Times New Roman" w:cs="Times New Roman"/>
          <w:sz w:val="21"/>
          <w:szCs w:val="21"/>
          <w:lang w:val="en-US" w:eastAsia="ru-RU"/>
        </w:rPr>
        <w:t xml:space="preserve">, and the language of the arbitration shall be </w:t>
      </w:r>
      <w:r>
        <w:rPr>
          <w:rFonts w:ascii="Times New Roman" w:hAnsi="Times New Roman" w:eastAsia="Times New Roman" w:cs="Times New Roman"/>
          <w:b/>
          <w:bCs/>
          <w:sz w:val="21"/>
          <w:szCs w:val="21"/>
          <w:lang w:val="en-US" w:eastAsia="ru-RU"/>
        </w:rPr>
        <w:t xml:space="preserve">English</w:t>
      </w:r>
      <w:r>
        <w:rPr>
          <w:rFonts w:ascii="Times New Roman" w:hAnsi="Times New Roman" w:eastAsia="Times New Roman" w:cs="Times New Roman"/>
          <w:sz w:val="21"/>
          <w:szCs w:val="21"/>
          <w:lang w:val="en-US" w:eastAsia="ru-RU"/>
        </w:rPr>
        <w:t xml:space="preserve">. The tribunal shall consist of a single arbitrator, unless the Parties agree in writing on a panel of three arbitrators. T</w:t>
      </w:r>
      <w:r>
        <w:rPr>
          <w:rFonts w:ascii="Times New Roman" w:hAnsi="Times New Roman" w:eastAsia="Times New Roman" w:cs="Times New Roman"/>
          <w:sz w:val="21"/>
          <w:szCs w:val="21"/>
          <w:lang w:val="en-US" w:eastAsia="ru-RU"/>
        </w:rPr>
        <w:t xml:space="preserve">he arbitrator(s) shall be appointed in accordance with the CEDRAC Rules. The award rendered by the arbitrator(s) shall be final and binding on the Parties, and judgment on the award may be entered in any court of competent jurisdiction. Each Party retains </w:t>
      </w:r>
      <w:r>
        <w:rPr>
          <w:rFonts w:ascii="Times New Roman" w:hAnsi="Times New Roman" w:eastAsia="Times New Roman" w:cs="Times New Roman"/>
          <w:sz w:val="21"/>
          <w:szCs w:val="21"/>
          <w:lang w:val="en-US" w:eastAsia="ru-RU"/>
        </w:rPr>
        <w:t xml:space="preserve">the right to seek interim or conservatory measures (including injunctive relief) in aid of arbitration from any competent court, as necessary.</w:t>
      </w:r>
      <w:r>
        <w:rPr>
          <w:rFonts w:ascii="Times New Roman" w:hAnsi="Times New Roman" w:eastAsia="Times New Roman" w:cs="Times New Roman"/>
          <w:sz w:val="21"/>
          <w:szCs w:val="21"/>
          <w:lang w:val="en-US" w:eastAsia="ru-RU"/>
        </w:rPr>
      </w:r>
    </w:p>
    <w:p>
      <w:pPr>
        <w:pBdr/>
        <w:spacing w:after="100" w:afterAutospacing="1" w:before="100" w:beforeAutospacing="1"/>
        <w:ind/>
        <w:jc w:val="both"/>
        <w:outlineLvl w:val="2"/>
        <w:rPr>
          <w:rFonts w:ascii="Times New Roman" w:hAnsi="Times New Roman" w:eastAsia="Times New Roman" w:cs="Times New Roman"/>
          <w:b/>
          <w:bCs/>
          <w:sz w:val="21"/>
          <w:szCs w:val="21"/>
          <w:lang w:val="en-US" w:eastAsia="ru-RU"/>
        </w:rPr>
      </w:pPr>
      <w:r>
        <w:rPr>
          <w:rFonts w:ascii="Times New Roman" w:hAnsi="Times New Roman" w:eastAsia="Times New Roman" w:cs="Times New Roman"/>
          <w:b/>
          <w:bCs/>
          <w:sz w:val="21"/>
          <w:szCs w:val="21"/>
          <w:lang w:val="en-US" w:eastAsia="ru-RU"/>
        </w:rPr>
        <w:t xml:space="preserve">10. Miscellaneous</w:t>
      </w:r>
      <w:r>
        <w:rPr>
          <w:rFonts w:ascii="Times New Roman" w:hAnsi="Times New Roman" w:eastAsia="Times New Roman" w:cs="Times New Roman"/>
          <w:b/>
          <w:bCs/>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10.1 Entire Agreement:</w:t>
      </w:r>
      <w:r>
        <w:rPr>
          <w:rFonts w:ascii="Times New Roman" w:hAnsi="Times New Roman" w:eastAsia="Times New Roman" w:cs="Times New Roman"/>
          <w:sz w:val="21"/>
          <w:szCs w:val="21"/>
          <w:lang w:val="en-US" w:eastAsia="ru-RU"/>
        </w:rPr>
        <w:t xml:space="preserve"> This Agreement (including any Schedules or Appendices hereto) constitutes the entire agreement </w:t>
      </w:r>
      <w:r>
        <w:rPr>
          <w:rFonts w:ascii="Times New Roman" w:hAnsi="Times New Roman" w:eastAsia="Times New Roman" w:cs="Times New Roman"/>
          <w:sz w:val="21"/>
          <w:szCs w:val="21"/>
          <w:lang w:val="en-US" w:eastAsia="ru-RU"/>
        </w:rPr>
        <w:t xml:space="preserve">between the Parties with respect to the subject matter hereof and supersedes all prior or contemporaneous agreements, understandings, negotiations, or representations, whether oral or written, relating to the same subject matter. Each Party acknowledges th</w:t>
      </w:r>
      <w:r>
        <w:rPr>
          <w:rFonts w:ascii="Times New Roman" w:hAnsi="Times New Roman" w:eastAsia="Times New Roman" w:cs="Times New Roman"/>
          <w:sz w:val="21"/>
          <w:szCs w:val="21"/>
          <w:lang w:val="en-US" w:eastAsia="ru-RU"/>
        </w:rPr>
        <w:t xml:space="preserve">at, in entering into this Agreement, it is not relying on any representation, warranty, assurance, or inducement not expressly set out in this Agreement. Nothing in this clause shall limit or exclude any liability for fraud or fraudulent misrepresentation.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10.2 Amendments:</w:t>
      </w:r>
      <w:r>
        <w:rPr>
          <w:rFonts w:ascii="Times New Roman" w:hAnsi="Times New Roman" w:eastAsia="Times New Roman" w:cs="Times New Roman"/>
          <w:sz w:val="21"/>
          <w:szCs w:val="21"/>
          <w:lang w:val="en-US" w:eastAsia="ru-RU"/>
        </w:rPr>
        <w:t xml:space="preserve"> No amendment, modification, or variation of this Agreement shall be effective unless it is in writing and signed by duly authorized representatives of both Parties.</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10.3 Waiver:</w:t>
      </w:r>
      <w:r>
        <w:rPr>
          <w:rFonts w:ascii="Times New Roman" w:hAnsi="Times New Roman" w:eastAsia="Times New Roman" w:cs="Times New Roman"/>
          <w:sz w:val="21"/>
          <w:szCs w:val="21"/>
          <w:lang w:val="en-US" w:eastAsia="ru-RU"/>
        </w:rPr>
        <w:t xml:space="preserve"> No failure or delay by either Party in exercising any right or remedy under this Agreement shall operate as a waiver thereof, nor shall any single or par</w:t>
      </w:r>
      <w:r>
        <w:rPr>
          <w:rFonts w:ascii="Times New Roman" w:hAnsi="Times New Roman" w:eastAsia="Times New Roman" w:cs="Times New Roman"/>
          <w:sz w:val="21"/>
          <w:szCs w:val="21"/>
          <w:lang w:val="en-US" w:eastAsia="ru-RU"/>
        </w:rPr>
        <w:t xml:space="preserve">tial exercise of any right or remedy prevent any further or future exercise of that or any other right or remedy. Any waiver of any right or remedy under this Agreement shall be effective only if made in writing and signed by the Party granting the waiver.</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10.4 Severability:</w:t>
      </w:r>
      <w:r>
        <w:rPr>
          <w:rFonts w:ascii="Times New Roman" w:hAnsi="Times New Roman" w:eastAsia="Times New Roman" w:cs="Times New Roman"/>
          <w:sz w:val="21"/>
          <w:szCs w:val="21"/>
          <w:lang w:val="en-US" w:eastAsia="ru-RU"/>
        </w:rPr>
        <w:t xml:space="preserve"> If any provision of this Agreement (or part of a provision) is found by a court or arbitral tribunal of competent jurisdiction to be invalid, illegal, or unenforcea</w:t>
      </w:r>
      <w:r>
        <w:rPr>
          <w:rFonts w:ascii="Times New Roman" w:hAnsi="Times New Roman" w:eastAsia="Times New Roman" w:cs="Times New Roman"/>
          <w:sz w:val="21"/>
          <w:szCs w:val="21"/>
          <w:lang w:val="en-US" w:eastAsia="ru-RU"/>
        </w:rPr>
        <w:t xml:space="preserve">ble, that provision or part-provision shall, to the extent required, be deemed deleted (or, if permissible, modified to the minimum extent necessary to make it valid and enforceable), and the remaining provisions of this Agreement shall remain in full forc</w:t>
      </w:r>
      <w:r>
        <w:rPr>
          <w:rFonts w:ascii="Times New Roman" w:hAnsi="Times New Roman" w:eastAsia="Times New Roman" w:cs="Times New Roman"/>
          <w:sz w:val="21"/>
          <w:szCs w:val="21"/>
          <w:lang w:val="en-US" w:eastAsia="ru-RU"/>
        </w:rPr>
        <w:t xml:space="preserve">e and effect. In such case, the Parties shall negotiate in good faith to amend this Agreement to replace the invalid or unenforceable provision with a valid and enforceable provision that achieves, as closely as possible, the original commercial intention.</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val="en-US" w:eastAsia="ru-RU"/>
        </w:rPr>
        <w:t xml:space="preserve">10.5 Notices:</w:t>
      </w:r>
      <w:r>
        <w:rPr>
          <w:rFonts w:ascii="Times New Roman" w:hAnsi="Times New Roman" w:eastAsia="Times New Roman" w:cs="Times New Roman"/>
          <w:sz w:val="21"/>
          <w:szCs w:val="21"/>
          <w:lang w:val="en-US" w:eastAsia="ru-RU"/>
        </w:rPr>
        <w:t xml:space="preserve"> Any notice or other communication required or permitted under this Agreement shall be in writing and shall be delivered to the respective Party at its address or email set out below (or to s</w:t>
      </w:r>
      <w:r>
        <w:rPr>
          <w:rFonts w:ascii="Times New Roman" w:hAnsi="Times New Roman" w:eastAsia="Times New Roman" w:cs="Times New Roman"/>
          <w:sz w:val="21"/>
          <w:szCs w:val="21"/>
          <w:lang w:val="en-US" w:eastAsia="ru-RU"/>
        </w:rPr>
        <w:t xml:space="preserve">uch other address/email as that Party may notify to the other in writing from time to time). Notices shall be delivered by hand, sent by prepaid registered airmail or reputable courier service, or by email. A notice shall be deemed to have been received: (</w:t>
      </w:r>
      <w:r>
        <w:rPr>
          <w:rFonts w:ascii="Times New Roman" w:hAnsi="Times New Roman" w:eastAsia="Times New Roman" w:cs="Times New Roman"/>
          <w:sz w:val="21"/>
          <w:szCs w:val="21"/>
          <w:lang w:val="en-US" w:eastAsia="ru-RU"/>
        </w:rPr>
        <w:t xml:space="preserve">i</w:t>
      </w:r>
      <w:r>
        <w:rPr>
          <w:rFonts w:ascii="Times New Roman" w:hAnsi="Times New Roman" w:eastAsia="Times New Roman" w:cs="Times New Roman"/>
          <w:sz w:val="21"/>
          <w:szCs w:val="21"/>
          <w:lang w:val="en-US" w:eastAsia="ru-RU"/>
        </w:rPr>
        <w:t xml:space="preserve">) if delivered by hand or courier, at the time of deliver</w:t>
      </w:r>
      <w:r>
        <w:rPr>
          <w:rFonts w:ascii="Times New Roman" w:hAnsi="Times New Roman" w:eastAsia="Times New Roman" w:cs="Times New Roman"/>
          <w:sz w:val="21"/>
          <w:szCs w:val="21"/>
          <w:lang w:val="en-US" w:eastAsia="ru-RU"/>
        </w:rPr>
        <w:t xml:space="preserve">y to the recipient’s address; (ii) if sent by registered post, on the third Business Day after the date of posting; and (iii) if sent by email, on the day of successful transmission (or, if sent outside of normal business hours, on the next Business Day), </w:t>
      </w:r>
      <w:r>
        <w:rPr>
          <w:rFonts w:ascii="Times New Roman" w:hAnsi="Times New Roman" w:eastAsia="Times New Roman" w:cs="Times New Roman"/>
          <w:b/>
          <w:bCs/>
          <w:sz w:val="21"/>
          <w:szCs w:val="21"/>
          <w:lang w:val="en-US" w:eastAsia="ru-RU"/>
        </w:rPr>
        <w:t xml:space="preserve">provided</w:t>
      </w:r>
      <w:r>
        <w:rPr>
          <w:rFonts w:ascii="Times New Roman" w:hAnsi="Times New Roman" w:eastAsia="Times New Roman" w:cs="Times New Roman"/>
          <w:sz w:val="21"/>
          <w:szCs w:val="21"/>
          <w:lang w:val="en-US" w:eastAsia="ru-RU"/>
        </w:rPr>
        <w:t xml:space="preserve"> that no automated bounce-back or error message is received by the sender. </w:t>
      </w:r>
      <w:r>
        <w:rPr>
          <w:rFonts w:ascii="Times New Roman" w:hAnsi="Times New Roman" w:eastAsia="Times New Roman" w:cs="Times New Roman"/>
          <w:sz w:val="21"/>
          <w:szCs w:val="21"/>
          <w:lang w:eastAsia="ru-RU"/>
        </w:rPr>
        <w:t xml:space="preserve">The </w:t>
      </w:r>
      <w:r>
        <w:rPr>
          <w:rFonts w:ascii="Times New Roman" w:hAnsi="Times New Roman" w:eastAsia="Times New Roman" w:cs="Times New Roman"/>
          <w:sz w:val="21"/>
          <w:szCs w:val="21"/>
          <w:lang w:eastAsia="ru-RU"/>
        </w:rPr>
        <w:t xml:space="preserve">initial</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notice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details</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of</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the</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Parties</w:t>
      </w:r>
      <w:r>
        <w:rPr>
          <w:rFonts w:ascii="Times New Roman" w:hAnsi="Times New Roman" w:eastAsia="Times New Roman" w:cs="Times New Roman"/>
          <w:sz w:val="21"/>
          <w:szCs w:val="21"/>
          <w:lang w:eastAsia="ru-RU"/>
        </w:rPr>
        <w:t xml:space="preserve"> </w:t>
      </w:r>
      <w:r>
        <w:rPr>
          <w:rFonts w:ascii="Times New Roman" w:hAnsi="Times New Roman" w:eastAsia="Times New Roman" w:cs="Times New Roman"/>
          <w:sz w:val="21"/>
          <w:szCs w:val="21"/>
          <w:lang w:eastAsia="ru-RU"/>
        </w:rPr>
        <w:t xml:space="preserve">are</w:t>
      </w:r>
      <w:r>
        <w:rPr>
          <w:rFonts w:ascii="Times New Roman" w:hAnsi="Times New Roman" w:eastAsia="Times New Roman" w:cs="Times New Roman"/>
          <w:sz w:val="21"/>
          <w:szCs w:val="21"/>
          <w:lang w:eastAsia="ru-RU"/>
        </w:rPr>
        <w:t xml:space="preserve">:</w:t>
      </w:r>
      <w:r>
        <w:rPr>
          <w:rFonts w:ascii="Times New Roman" w:hAnsi="Times New Roman" w:eastAsia="Times New Roman" w:cs="Times New Roman"/>
          <w:sz w:val="21"/>
          <w:szCs w:val="21"/>
          <w:lang w:eastAsia="ru-RU"/>
        </w:rPr>
      </w:r>
    </w:p>
    <w:p>
      <w:pPr>
        <w:numPr>
          <w:ilvl w:val="0"/>
          <w:numId w:val="7"/>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For the Introducer:</w:t>
      </w:r>
      <w:r>
        <w:rPr>
          <w:rFonts w:ascii="Times New Roman" w:hAnsi="Times New Roman" w:eastAsia="Times New Roman" w:cs="Times New Roman"/>
          <w:sz w:val="21"/>
          <w:szCs w:val="21"/>
          <w:lang w:val="en-US" w:eastAsia="ru-RU"/>
        </w:rPr>
        <w:t xml:space="preserve"> [Introducer’s Address] — Email: [Introducer’s Email]</w:t>
      </w:r>
      <w:r>
        <w:rPr>
          <w:rFonts w:ascii="Times New Roman" w:hAnsi="Times New Roman" w:eastAsia="Times New Roman" w:cs="Times New Roman"/>
          <w:sz w:val="21"/>
          <w:szCs w:val="21"/>
          <w:lang w:val="en-US" w:eastAsia="ru-RU"/>
        </w:rPr>
      </w:r>
    </w:p>
    <w:p>
      <w:pPr>
        <w:numPr>
          <w:ilvl w:val="0"/>
          <w:numId w:val="7"/>
        </w:num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For the Provider:</w:t>
      </w:r>
      <w:r>
        <w:rPr>
          <w:rFonts w:ascii="Times New Roman" w:hAnsi="Times New Roman" w:eastAsia="Times New Roman" w:cs="Times New Roman"/>
          <w:sz w:val="21"/>
          <w:szCs w:val="21"/>
          <w:lang w:val="en-US" w:eastAsia="ru-RU"/>
        </w:rPr>
        <w:t xml:space="preserve"> [Provider’s Address] — Email: [Provider’s Email]</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10.6 Third-Party Rights:</w:t>
      </w:r>
      <w:r>
        <w:rPr>
          <w:rFonts w:ascii="Times New Roman" w:hAnsi="Times New Roman" w:eastAsia="Times New Roman" w:cs="Times New Roman"/>
          <w:sz w:val="21"/>
          <w:szCs w:val="21"/>
          <w:lang w:val="en-US" w:eastAsia="ru-RU"/>
        </w:rPr>
        <w:t xml:space="preserve"> This Agreement is for the sole benefit of the Parties and their permitted successors and assigns. A person or entity who is not a Party to this Agreement shall have no right to enforce any term of this Agreement.</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b/>
          <w:bCs/>
          <w:sz w:val="21"/>
          <w:szCs w:val="21"/>
          <w:lang w:val="en-US" w:eastAsia="ru-RU"/>
        </w:rPr>
        <w:t xml:space="preserve">10.7 Counterparts and Electronic Signatures:</w:t>
      </w:r>
      <w:r>
        <w:rPr>
          <w:rFonts w:ascii="Times New Roman" w:hAnsi="Times New Roman" w:eastAsia="Times New Roman" w:cs="Times New Roman"/>
          <w:sz w:val="21"/>
          <w:szCs w:val="21"/>
          <w:lang w:val="en-US" w:eastAsia="ru-RU"/>
        </w:rPr>
        <w:t xml:space="preserve"> This Agreement may be executed in any number of counterparts, each of which shall be deemed an original, but all of which together shall constitute one and the same instrument. The Parties agree that this Ag</w:t>
      </w:r>
      <w:r>
        <w:rPr>
          <w:rFonts w:ascii="Times New Roman" w:hAnsi="Times New Roman" w:eastAsia="Times New Roman" w:cs="Times New Roman"/>
          <w:sz w:val="21"/>
          <w:szCs w:val="21"/>
          <w:lang w:val="en-US" w:eastAsia="ru-RU"/>
        </w:rPr>
        <w:t xml:space="preserve">reement may be executed and delivered by electronic means (including electronic signature or exchange of scanned PDF copies), and that any electronic execution or signature shall be valid and binding to the same extent as an original handwritten signature.</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i/>
          <w:iCs/>
          <w:sz w:val="21"/>
          <w:szCs w:val="21"/>
          <w:lang w:val="en-US" w:eastAsia="ru-RU"/>
        </w:rPr>
        <w:t xml:space="preserve">Signatures:</w:t>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For and on behalf of </w:t>
      </w:r>
      <w:r>
        <w:rPr>
          <w:rFonts w:ascii="Times New Roman" w:hAnsi="Times New Roman" w:eastAsia="Times New Roman" w:cs="Times New Roman"/>
          <w:b/>
          <w:bCs/>
          <w:sz w:val="21"/>
          <w:szCs w:val="21"/>
          <w:lang w:val="en-US" w:eastAsia="ru-RU"/>
        </w:rPr>
        <w:t xml:space="preserve">Admex</w:t>
      </w:r>
      <w:r>
        <w:rPr>
          <w:rFonts w:ascii="Times New Roman" w:hAnsi="Times New Roman" w:eastAsia="Times New Roman" w:cs="Times New Roman"/>
          <w:b/>
          <w:bCs/>
          <w:sz w:val="21"/>
          <w:szCs w:val="21"/>
          <w:lang w:val="en-US" w:eastAsia="ru-RU"/>
        </w:rPr>
        <w:t xml:space="preserve"> Advisory Limited:</w:t>
      </w:r>
      <w:r>
        <w:rPr>
          <w:rFonts w:ascii="Times New Roman" w:hAnsi="Times New Roman" w:eastAsia="Times New Roman" w:cs="Times New Roman"/>
          <w:sz w:val="21"/>
          <w:szCs w:val="21"/>
          <w:lang w:val="en-US" w:eastAsia="ru-RU"/>
        </w:rPr>
        <w:br/>
        <w:t xml:space="preserve">Name: ______________________</w:t>
      </w:r>
      <w:r>
        <w:rPr>
          <w:rFonts w:ascii="Times New Roman" w:hAnsi="Times New Roman" w:eastAsia="Times New Roman" w:cs="Times New Roman"/>
          <w:sz w:val="21"/>
          <w:szCs w:val="21"/>
          <w:lang w:val="en-US" w:eastAsia="ru-RU"/>
        </w:rPr>
        <w:br/>
        <w:t xml:space="preserve">Title: _______________________</w:t>
      </w:r>
      <w:r>
        <w:rPr>
          <w:rFonts w:ascii="Times New Roman" w:hAnsi="Times New Roman" w:eastAsia="Times New Roman" w:cs="Times New Roman"/>
          <w:sz w:val="21"/>
          <w:szCs w:val="21"/>
          <w:lang w:val="en-US" w:eastAsia="ru-RU"/>
        </w:rPr>
        <w:br/>
        <w:t xml:space="preserve">Signature: ________________ Date: __________</w:t>
      </w:r>
      <w:r>
        <w:rPr>
          <w:rFonts w:ascii="Times New Roman" w:hAnsi="Times New Roman" w:eastAsia="Times New Roman" w:cs="Times New Roman"/>
          <w:sz w:val="21"/>
          <w:szCs w:val="21"/>
          <w:lang w:val="en-US" w:eastAsia="ru-RU"/>
        </w:rPr>
      </w:r>
    </w:p>
    <w:p>
      <w:pPr>
        <w:pBdr/>
        <w:spacing w:after="100" w:afterAutospacing="1" w:before="100" w:beforeAutospacing="1"/>
        <w:ind/>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val="en-US" w:eastAsia="ru-RU"/>
        </w:rPr>
        <w:t xml:space="preserve">_______________</w:t>
      </w:r>
      <w:r>
        <w:rPr>
          <w:rFonts w:ascii="Times New Roman" w:hAnsi="Times New Roman" w:eastAsia="Times New Roman" w:cs="Times New Roman"/>
          <w:sz w:val="21"/>
          <w:szCs w:val="21"/>
          <w:lang w:val="en-US" w:eastAsia="ru-RU"/>
        </w:rPr>
        <w:t xml:space="preserve"> </w:t>
      </w:r>
      <w:r>
        <w:rPr>
          <w:rFonts w:ascii="Times New Roman" w:hAnsi="Times New Roman" w:eastAsia="Times New Roman" w:cs="Times New Roman"/>
          <w:b/>
          <w:bCs/>
          <w:sz w:val="21"/>
          <w:szCs w:val="21"/>
          <w:lang w:val="en-US" w:eastAsia="ru-RU"/>
        </w:rPr>
        <w:t xml:space="preserve">(Provider):</w:t>
      </w:r>
      <w:r>
        <w:rPr>
          <w:rFonts w:ascii="Times New Roman" w:hAnsi="Times New Roman" w:eastAsia="Times New Roman" w:cs="Times New Roman"/>
          <w:sz w:val="21"/>
          <w:szCs w:val="21"/>
          <w:lang w:val="en-US" w:eastAsia="ru-RU"/>
        </w:rPr>
        <w:br/>
      </w:r>
      <w:r>
        <w:rPr>
          <w:rFonts w:ascii="Times New Roman" w:hAnsi="Times New Roman" w:eastAsia="Times New Roman" w:cs="Times New Roman"/>
          <w:sz w:val="21"/>
          <w:szCs w:val="21"/>
          <w:lang w:eastAsia="ru-RU"/>
        </w:rPr>
      </w:r>
    </w:p>
    <w:p>
      <w:pPr>
        <w:pBdr/>
        <w:spacing w:after="100" w:afterAutospacing="1" w:before="100" w:beforeAutospacing="1"/>
        <w:ind/>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br/>
        <w:t xml:space="preserve">Signature: ________________ Date: __________</w:t>
      </w:r>
      <w:r>
        <w:rPr>
          <w:rFonts w:ascii="Times New Roman" w:hAnsi="Times New Roman" w:eastAsia="Times New Roman" w:cs="Times New Roman"/>
          <w:sz w:val="21"/>
          <w:szCs w:val="21"/>
          <w:lang w:val="en-US" w:eastAsia="ru-RU"/>
        </w:rPr>
      </w:r>
    </w:p>
    <w:p>
      <w:pPr>
        <w:pBdr/>
        <w:spacing w:after="100" w:afterAutospacing="1" w:before="100" w:beforeAutospacing="1"/>
        <w:ind/>
        <w:jc w:val="both"/>
        <w:rPr>
          <w:rFonts w:ascii="Times New Roman" w:hAnsi="Times New Roman" w:eastAsia="Times New Roman" w:cs="Times New Roman"/>
          <w:sz w:val="21"/>
          <w:szCs w:val="21"/>
          <w:lang w:eastAsia="ru-RU"/>
        </w:rPr>
      </w:pPr>
      <w:r>
        <w:rPr>
          <w:rFonts w:ascii="Times New Roman" w:hAnsi="Times New Roman" w:eastAsia="Times New Roman" w:cs="Times New Roman"/>
          <w:b/>
          <w:bCs/>
          <w:sz w:val="21"/>
          <w:szCs w:val="21"/>
          <w:lang w:eastAsia="ru-RU"/>
        </w:rPr>
        <w:t xml:space="preserve">Schedule</w:t>
      </w:r>
      <w:r>
        <w:rPr>
          <w:rFonts w:ascii="Times New Roman" w:hAnsi="Times New Roman" w:eastAsia="Times New Roman" w:cs="Times New Roman"/>
          <w:b/>
          <w:bCs/>
          <w:sz w:val="21"/>
          <w:szCs w:val="21"/>
          <w:lang w:eastAsia="ru-RU"/>
        </w:rPr>
        <w:t xml:space="preserve"> 1 – </w:t>
      </w:r>
      <w:r>
        <w:rPr>
          <w:rFonts w:ascii="Times New Roman" w:hAnsi="Times New Roman" w:eastAsia="Times New Roman" w:cs="Times New Roman"/>
          <w:b/>
          <w:bCs/>
          <w:sz w:val="21"/>
          <w:szCs w:val="21"/>
          <w:lang w:eastAsia="ru-RU"/>
        </w:rPr>
        <w:t xml:space="preserve">Fees</w:t>
      </w:r>
      <w:r>
        <w:rPr>
          <w:rFonts w:ascii="Times New Roman" w:hAnsi="Times New Roman" w:eastAsia="Times New Roman" w:cs="Times New Roman"/>
          <w:b/>
          <w:bCs/>
          <w:sz w:val="21"/>
          <w:szCs w:val="21"/>
          <w:lang w:eastAsia="ru-RU"/>
        </w:rPr>
        <w:t xml:space="preserve">/Commission</w:t>
      </w:r>
      <w:r>
        <w:rPr>
          <w:rFonts w:ascii="Times New Roman" w:hAnsi="Times New Roman" w:eastAsia="Times New Roman" w:cs="Times New Roman"/>
          <w:sz w:val="21"/>
          <w:szCs w:val="21"/>
          <w:lang w:eastAsia="ru-RU"/>
        </w:rPr>
      </w:r>
    </w:p>
    <w:tbl>
      <w:tblPr>
        <w:tblW w:w="0" w:type="auto"/>
        <w:tblCellSpacing w:w="15" w:type="dxa"/>
        <w:tblBorders/>
        <w:tblCellMar>
          <w:left w:w="15" w:type="dxa"/>
          <w:top w:w="15" w:type="dxa"/>
          <w:right w:w="15" w:type="dxa"/>
          <w:bottom w:w="15" w:type="dxa"/>
        </w:tblCellMar>
        <w:tblLook w:val="04A0" w:firstRow="1" w:lastRow="0" w:firstColumn="1" w:lastColumn="0" w:noHBand="0" w:noVBand="1"/>
      </w:tblPr>
      <w:tblGrid>
        <w:gridCol w:w="1137"/>
        <w:gridCol w:w="2985"/>
        <w:gridCol w:w="5227"/>
      </w:tblGrid>
      <w:tr>
        <w:trPr>
          <w:tblCellSpacing w:w="15" w:type="dxa"/>
          <w:tblHeader/>
        </w:trPr>
        <w:tc>
          <w:tcPr>
            <w:tcBorders/>
            <w:tcW w:w="0" w:type="auto"/>
            <w:vAlign w:val="center"/>
            <w:textDirection w:val="lrTb"/>
            <w:noWrap w:val="false"/>
          </w:tcPr>
          <w:p>
            <w:pPr>
              <w:pBdr/>
              <w:spacing/>
              <w:ind/>
              <w:jc w:val="both"/>
              <w:rPr>
                <w:rFonts w:ascii="Times New Roman" w:hAnsi="Times New Roman" w:eastAsia="Times New Roman" w:cs="Times New Roman"/>
                <w:b/>
                <w:bCs/>
                <w:sz w:val="21"/>
                <w:szCs w:val="21"/>
                <w:lang w:eastAsia="ru-RU"/>
              </w:rPr>
            </w:pPr>
            <w:r>
              <w:rPr>
                <w:rFonts w:ascii="Times New Roman" w:hAnsi="Times New Roman" w:eastAsia="Times New Roman" w:cs="Times New Roman"/>
                <w:b/>
                <w:bCs/>
                <w:sz w:val="21"/>
                <w:szCs w:val="21"/>
                <w:lang w:eastAsia="ru-RU"/>
              </w:rPr>
              <w:t xml:space="preserve">Item</w:t>
            </w:r>
            <w:r>
              <w:rPr>
                <w:rFonts w:ascii="Times New Roman" w:hAnsi="Times New Roman" w:eastAsia="Times New Roman" w:cs="Times New Roman"/>
                <w:b/>
                <w:bCs/>
                <w:sz w:val="21"/>
                <w:szCs w:val="21"/>
                <w:lang w:eastAsia="ru-RU"/>
              </w:rPr>
            </w:r>
          </w:p>
        </w:tc>
        <w:tc>
          <w:tcPr>
            <w:tcBorders/>
            <w:tcW w:w="0" w:type="auto"/>
            <w:vAlign w:val="center"/>
            <w:textDirection w:val="lrTb"/>
            <w:noWrap w:val="false"/>
          </w:tcPr>
          <w:p>
            <w:pPr>
              <w:pBdr/>
              <w:spacing/>
              <w:ind/>
              <w:jc w:val="both"/>
              <w:rPr>
                <w:rFonts w:ascii="Times New Roman" w:hAnsi="Times New Roman" w:eastAsia="Times New Roman" w:cs="Times New Roman"/>
                <w:b/>
                <w:bCs/>
                <w:sz w:val="21"/>
                <w:szCs w:val="21"/>
                <w:lang w:eastAsia="ru-RU"/>
              </w:rPr>
            </w:pPr>
            <w:r>
              <w:rPr>
                <w:rFonts w:ascii="Times New Roman" w:hAnsi="Times New Roman" w:eastAsia="Times New Roman" w:cs="Times New Roman"/>
                <w:b/>
                <w:bCs/>
                <w:sz w:val="21"/>
                <w:szCs w:val="21"/>
                <w:lang w:eastAsia="ru-RU"/>
              </w:rPr>
              <w:t xml:space="preserve">Amount</w:t>
            </w:r>
            <w:r>
              <w:rPr>
                <w:rFonts w:ascii="Times New Roman" w:hAnsi="Times New Roman" w:eastAsia="Times New Roman" w:cs="Times New Roman"/>
                <w:b/>
                <w:bCs/>
                <w:sz w:val="21"/>
                <w:szCs w:val="21"/>
                <w:lang w:eastAsia="ru-RU"/>
              </w:rPr>
              <w:t xml:space="preserve">/Rate</w:t>
            </w:r>
            <w:r>
              <w:rPr>
                <w:rFonts w:ascii="Times New Roman" w:hAnsi="Times New Roman" w:eastAsia="Times New Roman" w:cs="Times New Roman"/>
                <w:b/>
                <w:bCs/>
                <w:sz w:val="21"/>
                <w:szCs w:val="21"/>
                <w:lang w:eastAsia="ru-RU"/>
              </w:rPr>
            </w:r>
          </w:p>
        </w:tc>
        <w:tc>
          <w:tcPr>
            <w:tcBorders/>
            <w:tcW w:w="0" w:type="auto"/>
            <w:vAlign w:val="center"/>
            <w:textDirection w:val="lrTb"/>
            <w:noWrap w:val="false"/>
          </w:tcPr>
          <w:p>
            <w:pPr>
              <w:pBdr/>
              <w:spacing/>
              <w:ind/>
              <w:jc w:val="both"/>
              <w:rPr>
                <w:rFonts w:ascii="Times New Roman" w:hAnsi="Times New Roman" w:eastAsia="Times New Roman" w:cs="Times New Roman"/>
                <w:b/>
                <w:bCs/>
                <w:sz w:val="21"/>
                <w:szCs w:val="21"/>
                <w:lang w:eastAsia="ru-RU"/>
              </w:rPr>
            </w:pPr>
            <w:r>
              <w:rPr>
                <w:rFonts w:ascii="Times New Roman" w:hAnsi="Times New Roman" w:eastAsia="Times New Roman" w:cs="Times New Roman"/>
                <w:b/>
                <w:bCs/>
                <w:sz w:val="21"/>
                <w:szCs w:val="21"/>
                <w:lang w:eastAsia="ru-RU"/>
              </w:rPr>
              <w:t xml:space="preserve">Payment</w:t>
            </w:r>
            <w:r>
              <w:rPr>
                <w:rFonts w:ascii="Times New Roman" w:hAnsi="Times New Roman" w:eastAsia="Times New Roman" w:cs="Times New Roman"/>
                <w:b/>
                <w:bCs/>
                <w:sz w:val="21"/>
                <w:szCs w:val="21"/>
                <w:lang w:eastAsia="ru-RU"/>
              </w:rPr>
              <w:t xml:space="preserve"> </w:t>
            </w:r>
            <w:r>
              <w:rPr>
                <w:rFonts w:ascii="Times New Roman" w:hAnsi="Times New Roman" w:eastAsia="Times New Roman" w:cs="Times New Roman"/>
                <w:b/>
                <w:bCs/>
                <w:sz w:val="21"/>
                <w:szCs w:val="21"/>
                <w:lang w:eastAsia="ru-RU"/>
              </w:rPr>
              <w:t xml:space="preserve">Trigger</w:t>
            </w:r>
            <w:r>
              <w:rPr>
                <w:rFonts w:ascii="Times New Roman" w:hAnsi="Times New Roman" w:eastAsia="Times New Roman" w:cs="Times New Roman"/>
                <w:b/>
                <w:bCs/>
                <w:sz w:val="21"/>
                <w:szCs w:val="21"/>
                <w:lang w:eastAsia="ru-RU"/>
              </w:rPr>
              <w:t xml:space="preserve"> / </w:t>
            </w:r>
            <w:r>
              <w:rPr>
                <w:rFonts w:ascii="Times New Roman" w:hAnsi="Times New Roman" w:eastAsia="Times New Roman" w:cs="Times New Roman"/>
                <w:b/>
                <w:bCs/>
                <w:sz w:val="21"/>
                <w:szCs w:val="21"/>
                <w:lang w:eastAsia="ru-RU"/>
              </w:rPr>
              <w:t xml:space="preserve">Timing</w:t>
            </w:r>
            <w:r>
              <w:rPr>
                <w:rFonts w:ascii="Times New Roman" w:hAnsi="Times New Roman" w:eastAsia="Times New Roman" w:cs="Times New Roman"/>
                <w:b/>
                <w:bCs/>
                <w:sz w:val="21"/>
                <w:szCs w:val="21"/>
                <w:lang w:eastAsia="ru-RU"/>
              </w:rPr>
            </w:r>
          </w:p>
        </w:tc>
      </w:tr>
      <w:tr>
        <w:trPr>
          <w:tblCellSpacing w:w="15" w:type="dxa"/>
        </w:trPr>
        <w:tc>
          <w:tcPr>
            <w:tcBorders/>
            <w:tcW w:w="0" w:type="auto"/>
            <w:vAlign w:val="center"/>
            <w:textDirection w:val="lrTb"/>
            <w:noWrap w:val="false"/>
          </w:tcPr>
          <w:p>
            <w:pPr>
              <w:pBdr/>
              <w:spacing/>
              <w:ind/>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 xml:space="preserve">Commission</w:t>
            </w:r>
            <w:r>
              <w:rPr>
                <w:rFonts w:ascii="Times New Roman" w:hAnsi="Times New Roman" w:eastAsia="Times New Roman" w:cs="Times New Roman"/>
                <w:sz w:val="21"/>
                <w:szCs w:val="21"/>
                <w:lang w:eastAsia="ru-RU"/>
              </w:rPr>
            </w:r>
          </w:p>
        </w:tc>
        <w:tc>
          <w:tcPr>
            <w:tcBorders/>
            <w:tcW w:w="0" w:type="auto"/>
            <w:vAlign w:val="center"/>
            <w:textDirection w:val="lrTb"/>
            <w:noWrap w:val="false"/>
          </w:tcPr>
          <w:p>
            <w:pPr>
              <w:pBdr/>
              <w:spacing/>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15% of Net Profit (from each Introduced Client)</w:t>
            </w:r>
            <w:r>
              <w:rPr>
                <w:rFonts w:ascii="Times New Roman" w:hAnsi="Times New Roman" w:eastAsia="Times New Roman" w:cs="Times New Roman"/>
                <w:sz w:val="21"/>
                <w:szCs w:val="21"/>
                <w:lang w:val="en-US" w:eastAsia="ru-RU"/>
              </w:rPr>
            </w:r>
          </w:p>
        </w:tc>
        <w:tc>
          <w:tcPr>
            <w:tcBorders/>
            <w:tcW w:w="0" w:type="auto"/>
            <w:vAlign w:val="center"/>
            <w:textDirection w:val="lrTb"/>
            <w:noWrap w:val="false"/>
          </w:tcPr>
          <w:p>
            <w:pPr>
              <w:pBdr/>
              <w:spacing/>
              <w:ind/>
              <w:jc w:val="both"/>
              <w:rPr>
                <w:rFonts w:ascii="Times New Roman" w:hAnsi="Times New Roman" w:eastAsia="Times New Roman" w:cs="Times New Roman"/>
                <w:sz w:val="21"/>
                <w:szCs w:val="21"/>
                <w:lang w:val="en-US" w:eastAsia="ru-RU"/>
              </w:rPr>
            </w:pPr>
            <w:r>
              <w:rPr>
                <w:rFonts w:ascii="Times New Roman" w:hAnsi="Times New Roman" w:eastAsia="Times New Roman" w:cs="Times New Roman"/>
                <w:sz w:val="21"/>
                <w:szCs w:val="21"/>
                <w:lang w:val="en-US" w:eastAsia="ru-RU"/>
              </w:rPr>
              <w:t xml:space="preserve">Paid quarterly, within 30 days after the end of each calendar quarter, based on Net Profit earned</w:t>
            </w:r>
            <w:r>
              <w:rPr>
                <w:rFonts w:ascii="Times New Roman" w:hAnsi="Times New Roman" w:eastAsia="Times New Roman" w:cs="Times New Roman"/>
                <w:sz w:val="21"/>
                <w:szCs w:val="21"/>
                <w:lang w:val="en-US" w:eastAsia="ru-RU"/>
              </w:rPr>
            </w:r>
          </w:p>
        </w:tc>
      </w:tr>
    </w:tbl>
    <w:p>
      <w:pPr>
        <w:pBdr/>
        <w:spacing/>
        <w:ind/>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r>
      <w:r>
        <w:rPr>
          <w:rFonts w:ascii="Times New Roman" w:hAnsi="Times New Roman" w:eastAsia="Times New Roman" w:cs="Times New Roman"/>
          <w:sz w:val="21"/>
          <w:szCs w:val="21"/>
          <w:lang w:eastAsia="ru-RU"/>
        </w:rPr>
      </w:r>
    </w:p>
    <w:p>
      <w:pPr>
        <w:pBdr/>
        <w:spacing/>
        <w:ind/>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r>
      <w:r>
        <w:rPr>
          <w:rFonts w:ascii="Times New Roman" w:hAnsi="Times New Roman" w:eastAsia="Times New Roman" w:cs="Times New Roman"/>
          <w:sz w:val="21"/>
          <w:szCs w:val="21"/>
          <w:lang w:eastAsia="ru-RU"/>
        </w:rPr>
      </w:r>
    </w:p>
    <w:sectPr>
      <w:footnotePr/>
      <w:endnotePr/>
      <w:type w:val="nextPage"/>
      <w:pgSz w:h="16840" w:orient="portrait" w:w="11900"/>
      <w:pgMar w:top="1134" w:right="850" w:bottom="1134"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1."/>
      <w:numFmt w:val="decimal"/>
      <w:pPr>
        <w:pBdr/>
        <w:tabs>
          <w:tab w:val="num" w:leader="none" w:pos="720"/>
        </w:tabs>
        <w:spacing/>
        <w:ind w:hanging="360" w:left="720"/>
      </w:pPr>
      <w:rPr/>
      <w:start w:val="2"/>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ru-RU"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5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5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5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5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5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5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5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5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5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5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5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5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5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5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5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5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5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5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5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5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5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5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5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5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5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5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5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5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5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5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5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5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5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5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5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5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5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5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5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5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5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5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5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5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5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5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5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5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5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5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5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5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5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5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5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5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5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5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5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5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5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5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5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5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5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5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5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645"/>
    <w:next w:val="64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45"/>
    <w:next w:val="645"/>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45"/>
    <w:next w:val="64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45"/>
    <w:next w:val="64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45"/>
    <w:next w:val="64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45"/>
    <w:next w:val="64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49"/>
    <w:link w:val="646"/>
    <w:uiPriority w:val="9"/>
    <w:pPr>
      <w:pBdr/>
      <w:spacing/>
      <w:ind/>
    </w:pPr>
    <w:rPr>
      <w:rFonts w:ascii="Arial" w:hAnsi="Arial" w:eastAsia="Arial" w:cs="Arial"/>
      <w:color w:val="0f4761" w:themeColor="accent1" w:themeShade="BF"/>
      <w:sz w:val="40"/>
      <w:szCs w:val="40"/>
    </w:rPr>
  </w:style>
  <w:style w:type="character" w:styleId="150">
    <w:name w:val="Heading 2 Char"/>
    <w:basedOn w:val="649"/>
    <w:link w:val="647"/>
    <w:uiPriority w:val="9"/>
    <w:pPr>
      <w:pBdr/>
      <w:spacing/>
      <w:ind/>
    </w:pPr>
    <w:rPr>
      <w:rFonts w:ascii="Arial" w:hAnsi="Arial" w:eastAsia="Arial" w:cs="Arial"/>
      <w:color w:val="0f4761" w:themeColor="accent1" w:themeShade="BF"/>
      <w:sz w:val="32"/>
      <w:szCs w:val="32"/>
    </w:rPr>
  </w:style>
  <w:style w:type="character" w:styleId="151">
    <w:name w:val="Heading 3 Char"/>
    <w:basedOn w:val="649"/>
    <w:link w:val="648"/>
    <w:uiPriority w:val="9"/>
    <w:pPr>
      <w:pBdr/>
      <w:spacing/>
      <w:ind/>
    </w:pPr>
    <w:rPr>
      <w:rFonts w:ascii="Arial" w:hAnsi="Arial" w:eastAsia="Arial" w:cs="Arial"/>
      <w:color w:val="0f4761" w:themeColor="accent1" w:themeShade="BF"/>
      <w:sz w:val="28"/>
      <w:szCs w:val="28"/>
    </w:rPr>
  </w:style>
  <w:style w:type="character" w:styleId="152">
    <w:name w:val="Heading 4 Char"/>
    <w:basedOn w:val="649"/>
    <w:link w:val="141"/>
    <w:uiPriority w:val="9"/>
    <w:pPr>
      <w:pBdr/>
      <w:spacing/>
      <w:ind/>
    </w:pPr>
    <w:rPr>
      <w:rFonts w:ascii="Arial" w:hAnsi="Arial" w:eastAsia="Arial" w:cs="Arial"/>
      <w:i/>
      <w:iCs/>
      <w:color w:val="0f4761" w:themeColor="accent1" w:themeShade="BF"/>
    </w:rPr>
  </w:style>
  <w:style w:type="character" w:styleId="153">
    <w:name w:val="Heading 5 Char"/>
    <w:basedOn w:val="649"/>
    <w:link w:val="142"/>
    <w:uiPriority w:val="9"/>
    <w:pPr>
      <w:pBdr/>
      <w:spacing/>
      <w:ind/>
    </w:pPr>
    <w:rPr>
      <w:rFonts w:ascii="Arial" w:hAnsi="Arial" w:eastAsia="Arial" w:cs="Arial"/>
      <w:color w:val="0f4761" w:themeColor="accent1" w:themeShade="BF"/>
    </w:rPr>
  </w:style>
  <w:style w:type="character" w:styleId="154">
    <w:name w:val="Heading 6 Char"/>
    <w:basedOn w:val="649"/>
    <w:link w:val="143"/>
    <w:uiPriority w:val="9"/>
    <w:pPr>
      <w:pBdr/>
      <w:spacing/>
      <w:ind/>
    </w:pPr>
    <w:rPr>
      <w:rFonts w:ascii="Arial" w:hAnsi="Arial" w:eastAsia="Arial" w:cs="Arial"/>
      <w:i/>
      <w:iCs/>
      <w:color w:val="595959" w:themeColor="text1" w:themeTint="A6"/>
    </w:rPr>
  </w:style>
  <w:style w:type="character" w:styleId="155">
    <w:name w:val="Heading 7 Char"/>
    <w:basedOn w:val="649"/>
    <w:link w:val="144"/>
    <w:uiPriority w:val="9"/>
    <w:pPr>
      <w:pBdr/>
      <w:spacing/>
      <w:ind/>
    </w:pPr>
    <w:rPr>
      <w:rFonts w:ascii="Arial" w:hAnsi="Arial" w:eastAsia="Arial" w:cs="Arial"/>
      <w:color w:val="595959" w:themeColor="text1" w:themeTint="A6"/>
    </w:rPr>
  </w:style>
  <w:style w:type="character" w:styleId="156">
    <w:name w:val="Heading 8 Char"/>
    <w:basedOn w:val="649"/>
    <w:link w:val="145"/>
    <w:uiPriority w:val="9"/>
    <w:pPr>
      <w:pBdr/>
      <w:spacing/>
      <w:ind/>
    </w:pPr>
    <w:rPr>
      <w:rFonts w:ascii="Arial" w:hAnsi="Arial" w:eastAsia="Arial" w:cs="Arial"/>
      <w:i/>
      <w:iCs/>
      <w:color w:val="272727" w:themeColor="text1" w:themeTint="D8"/>
    </w:rPr>
  </w:style>
  <w:style w:type="character" w:styleId="157">
    <w:name w:val="Heading 9 Char"/>
    <w:basedOn w:val="649"/>
    <w:link w:val="146"/>
    <w:uiPriority w:val="9"/>
    <w:pPr>
      <w:pBdr/>
      <w:spacing/>
      <w:ind/>
    </w:pPr>
    <w:rPr>
      <w:rFonts w:ascii="Arial" w:hAnsi="Arial" w:eastAsia="Arial" w:cs="Arial"/>
      <w:i/>
      <w:iCs/>
      <w:color w:val="272727" w:themeColor="text1" w:themeTint="D8"/>
    </w:rPr>
  </w:style>
  <w:style w:type="paragraph" w:styleId="158">
    <w:name w:val="Title"/>
    <w:basedOn w:val="645"/>
    <w:next w:val="645"/>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49"/>
    <w:link w:val="158"/>
    <w:uiPriority w:val="10"/>
    <w:pPr>
      <w:pBdr/>
      <w:spacing/>
      <w:ind/>
    </w:pPr>
    <w:rPr>
      <w:rFonts w:ascii="Arial" w:hAnsi="Arial" w:eastAsia="Arial" w:cs="Arial"/>
      <w:spacing w:val="-10"/>
      <w:sz w:val="56"/>
      <w:szCs w:val="56"/>
    </w:rPr>
  </w:style>
  <w:style w:type="paragraph" w:styleId="160">
    <w:name w:val="Subtitle"/>
    <w:basedOn w:val="645"/>
    <w:next w:val="645"/>
    <w:link w:val="161"/>
    <w:uiPriority w:val="11"/>
    <w:qFormat/>
    <w:pPr>
      <w:numPr>
        <w:ilvl w:val="1"/>
      </w:numPr>
      <w:pBdr/>
      <w:spacing/>
      <w:ind/>
    </w:pPr>
    <w:rPr>
      <w:color w:val="595959" w:themeColor="text1" w:themeTint="A6"/>
      <w:spacing w:val="15"/>
      <w:sz w:val="28"/>
      <w:szCs w:val="28"/>
    </w:rPr>
  </w:style>
  <w:style w:type="character" w:styleId="161">
    <w:name w:val="Subtitle Char"/>
    <w:basedOn w:val="649"/>
    <w:link w:val="160"/>
    <w:uiPriority w:val="11"/>
    <w:pPr>
      <w:pBdr/>
      <w:spacing/>
      <w:ind/>
    </w:pPr>
    <w:rPr>
      <w:color w:val="595959" w:themeColor="text1" w:themeTint="A6"/>
      <w:spacing w:val="15"/>
      <w:sz w:val="28"/>
      <w:szCs w:val="28"/>
    </w:rPr>
  </w:style>
  <w:style w:type="paragraph" w:styleId="162">
    <w:name w:val="Quote"/>
    <w:basedOn w:val="645"/>
    <w:next w:val="645"/>
    <w:link w:val="163"/>
    <w:uiPriority w:val="29"/>
    <w:qFormat/>
    <w:pPr>
      <w:pBdr/>
      <w:spacing w:before="160"/>
      <w:ind/>
      <w:jc w:val="center"/>
    </w:pPr>
    <w:rPr>
      <w:i/>
      <w:iCs/>
      <w:color w:val="404040" w:themeColor="text1" w:themeTint="BF"/>
    </w:rPr>
  </w:style>
  <w:style w:type="character" w:styleId="163">
    <w:name w:val="Quote Char"/>
    <w:basedOn w:val="649"/>
    <w:link w:val="162"/>
    <w:uiPriority w:val="29"/>
    <w:pPr>
      <w:pBdr/>
      <w:spacing/>
      <w:ind/>
    </w:pPr>
    <w:rPr>
      <w:i/>
      <w:iCs/>
      <w:color w:val="404040" w:themeColor="text1" w:themeTint="BF"/>
    </w:rPr>
  </w:style>
  <w:style w:type="paragraph" w:styleId="164">
    <w:name w:val="List Paragraph"/>
    <w:basedOn w:val="645"/>
    <w:uiPriority w:val="34"/>
    <w:qFormat/>
    <w:pPr>
      <w:pBdr/>
      <w:spacing/>
      <w:ind w:left="720"/>
      <w:contextualSpacing w:val="true"/>
    </w:pPr>
  </w:style>
  <w:style w:type="character" w:styleId="165">
    <w:name w:val="Intense Emphasis"/>
    <w:basedOn w:val="649"/>
    <w:uiPriority w:val="21"/>
    <w:qFormat/>
    <w:pPr>
      <w:pBdr/>
      <w:spacing/>
      <w:ind/>
    </w:pPr>
    <w:rPr>
      <w:i/>
      <w:iCs/>
      <w:color w:val="0f4761" w:themeColor="accent1" w:themeShade="BF"/>
    </w:rPr>
  </w:style>
  <w:style w:type="paragraph" w:styleId="166">
    <w:name w:val="Intense Quote"/>
    <w:basedOn w:val="645"/>
    <w:next w:val="64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49"/>
    <w:link w:val="166"/>
    <w:uiPriority w:val="30"/>
    <w:pPr>
      <w:pBdr/>
      <w:spacing/>
      <w:ind/>
    </w:pPr>
    <w:rPr>
      <w:i/>
      <w:iCs/>
      <w:color w:val="0f4761" w:themeColor="accent1" w:themeShade="BF"/>
    </w:rPr>
  </w:style>
  <w:style w:type="character" w:styleId="168">
    <w:name w:val="Intense Reference"/>
    <w:basedOn w:val="649"/>
    <w:uiPriority w:val="32"/>
    <w:qFormat/>
    <w:pPr>
      <w:pBdr/>
      <w:spacing/>
      <w:ind/>
    </w:pPr>
    <w:rPr>
      <w:b/>
      <w:bCs/>
      <w:smallCaps/>
      <w:color w:val="0f4761" w:themeColor="accent1" w:themeShade="BF"/>
      <w:spacing w:val="5"/>
    </w:rPr>
  </w:style>
  <w:style w:type="paragraph" w:styleId="169">
    <w:name w:val="No Spacing"/>
    <w:basedOn w:val="645"/>
    <w:uiPriority w:val="1"/>
    <w:qFormat/>
    <w:pPr>
      <w:pBdr/>
      <w:spacing w:after="0" w:line="240" w:lineRule="auto"/>
      <w:ind/>
    </w:pPr>
  </w:style>
  <w:style w:type="character" w:styleId="170">
    <w:name w:val="Subtle Emphasis"/>
    <w:basedOn w:val="649"/>
    <w:uiPriority w:val="19"/>
    <w:qFormat/>
    <w:pPr>
      <w:pBdr/>
      <w:spacing/>
      <w:ind/>
    </w:pPr>
    <w:rPr>
      <w:i/>
      <w:iCs/>
      <w:color w:val="404040" w:themeColor="text1" w:themeTint="BF"/>
    </w:rPr>
  </w:style>
  <w:style w:type="character" w:styleId="173">
    <w:name w:val="Subtle Reference"/>
    <w:basedOn w:val="649"/>
    <w:uiPriority w:val="31"/>
    <w:qFormat/>
    <w:pPr>
      <w:pBdr/>
      <w:spacing/>
      <w:ind/>
    </w:pPr>
    <w:rPr>
      <w:smallCaps/>
      <w:color w:val="5a5a5a" w:themeColor="text1" w:themeTint="A5"/>
    </w:rPr>
  </w:style>
  <w:style w:type="character" w:styleId="174">
    <w:name w:val="Book Title"/>
    <w:basedOn w:val="649"/>
    <w:uiPriority w:val="33"/>
    <w:qFormat/>
    <w:pPr>
      <w:pBdr/>
      <w:spacing/>
      <w:ind/>
    </w:pPr>
    <w:rPr>
      <w:b/>
      <w:bCs/>
      <w:i/>
      <w:iCs/>
      <w:spacing w:val="5"/>
    </w:rPr>
  </w:style>
  <w:style w:type="paragraph" w:styleId="175">
    <w:name w:val="Header"/>
    <w:basedOn w:val="645"/>
    <w:link w:val="176"/>
    <w:uiPriority w:val="99"/>
    <w:unhideWhenUsed/>
    <w:pPr>
      <w:pBdr/>
      <w:tabs>
        <w:tab w:val="center" w:leader="none" w:pos="4844"/>
        <w:tab w:val="right" w:leader="none" w:pos="9689"/>
      </w:tabs>
      <w:spacing w:after="0" w:line="240" w:lineRule="auto"/>
      <w:ind/>
    </w:pPr>
  </w:style>
  <w:style w:type="character" w:styleId="176">
    <w:name w:val="Header Char"/>
    <w:basedOn w:val="649"/>
    <w:link w:val="175"/>
    <w:uiPriority w:val="99"/>
    <w:pPr>
      <w:pBdr/>
      <w:spacing/>
      <w:ind/>
    </w:pPr>
  </w:style>
  <w:style w:type="paragraph" w:styleId="177">
    <w:name w:val="Footer"/>
    <w:basedOn w:val="645"/>
    <w:link w:val="178"/>
    <w:uiPriority w:val="99"/>
    <w:unhideWhenUsed/>
    <w:pPr>
      <w:pBdr/>
      <w:tabs>
        <w:tab w:val="center" w:leader="none" w:pos="4844"/>
        <w:tab w:val="right" w:leader="none" w:pos="9689"/>
      </w:tabs>
      <w:spacing w:after="0" w:line="240" w:lineRule="auto"/>
      <w:ind/>
    </w:pPr>
  </w:style>
  <w:style w:type="character" w:styleId="178">
    <w:name w:val="Footer Char"/>
    <w:basedOn w:val="649"/>
    <w:link w:val="177"/>
    <w:uiPriority w:val="99"/>
    <w:pPr>
      <w:pBdr/>
      <w:spacing/>
      <w:ind/>
    </w:pPr>
  </w:style>
  <w:style w:type="paragraph" w:styleId="179">
    <w:name w:val="Caption"/>
    <w:basedOn w:val="645"/>
    <w:next w:val="645"/>
    <w:uiPriority w:val="35"/>
    <w:unhideWhenUsed/>
    <w:qFormat/>
    <w:pPr>
      <w:pBdr/>
      <w:spacing w:after="200" w:line="240" w:lineRule="auto"/>
      <w:ind/>
    </w:pPr>
    <w:rPr>
      <w:i/>
      <w:iCs/>
      <w:color w:val="0e2841" w:themeColor="text2"/>
      <w:sz w:val="18"/>
      <w:szCs w:val="18"/>
    </w:rPr>
  </w:style>
  <w:style w:type="paragraph" w:styleId="180">
    <w:name w:val="footnote text"/>
    <w:basedOn w:val="645"/>
    <w:link w:val="181"/>
    <w:uiPriority w:val="99"/>
    <w:semiHidden/>
    <w:unhideWhenUsed/>
    <w:pPr>
      <w:pBdr/>
      <w:spacing w:after="0" w:line="240" w:lineRule="auto"/>
      <w:ind/>
    </w:pPr>
    <w:rPr>
      <w:sz w:val="20"/>
      <w:szCs w:val="20"/>
    </w:rPr>
  </w:style>
  <w:style w:type="character" w:styleId="181">
    <w:name w:val="Footnote Text Char"/>
    <w:basedOn w:val="649"/>
    <w:link w:val="180"/>
    <w:uiPriority w:val="99"/>
    <w:semiHidden/>
    <w:pPr>
      <w:pBdr/>
      <w:spacing/>
      <w:ind/>
    </w:pPr>
    <w:rPr>
      <w:sz w:val="20"/>
      <w:szCs w:val="20"/>
    </w:rPr>
  </w:style>
  <w:style w:type="character" w:styleId="182">
    <w:name w:val="footnote reference"/>
    <w:basedOn w:val="649"/>
    <w:uiPriority w:val="99"/>
    <w:semiHidden/>
    <w:unhideWhenUsed/>
    <w:pPr>
      <w:pBdr/>
      <w:spacing/>
      <w:ind/>
    </w:pPr>
    <w:rPr>
      <w:vertAlign w:val="superscript"/>
    </w:rPr>
  </w:style>
  <w:style w:type="paragraph" w:styleId="183">
    <w:name w:val="endnote text"/>
    <w:basedOn w:val="645"/>
    <w:link w:val="184"/>
    <w:uiPriority w:val="99"/>
    <w:semiHidden/>
    <w:unhideWhenUsed/>
    <w:pPr>
      <w:pBdr/>
      <w:spacing w:after="0" w:line="240" w:lineRule="auto"/>
      <w:ind/>
    </w:pPr>
    <w:rPr>
      <w:sz w:val="20"/>
      <w:szCs w:val="20"/>
    </w:rPr>
  </w:style>
  <w:style w:type="character" w:styleId="184">
    <w:name w:val="Endnote Text Char"/>
    <w:basedOn w:val="649"/>
    <w:link w:val="183"/>
    <w:uiPriority w:val="99"/>
    <w:semiHidden/>
    <w:pPr>
      <w:pBdr/>
      <w:spacing/>
      <w:ind/>
    </w:pPr>
    <w:rPr>
      <w:sz w:val="20"/>
      <w:szCs w:val="20"/>
    </w:rPr>
  </w:style>
  <w:style w:type="character" w:styleId="185">
    <w:name w:val="endnote reference"/>
    <w:basedOn w:val="649"/>
    <w:uiPriority w:val="99"/>
    <w:semiHidden/>
    <w:unhideWhenUsed/>
    <w:pPr>
      <w:pBdr/>
      <w:spacing/>
      <w:ind/>
    </w:pPr>
    <w:rPr>
      <w:vertAlign w:val="superscript"/>
    </w:rPr>
  </w:style>
  <w:style w:type="character" w:styleId="186">
    <w:name w:val="Hyperlink"/>
    <w:basedOn w:val="649"/>
    <w:uiPriority w:val="99"/>
    <w:unhideWhenUsed/>
    <w:pPr>
      <w:pBdr/>
      <w:spacing/>
      <w:ind/>
    </w:pPr>
    <w:rPr>
      <w:color w:val="0563c1" w:themeColor="hyperlink"/>
      <w:u w:val="single"/>
    </w:rPr>
  </w:style>
  <w:style w:type="character" w:styleId="187">
    <w:name w:val="FollowedHyperlink"/>
    <w:basedOn w:val="649"/>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45"/>
    <w:next w:val="645"/>
    <w:uiPriority w:val="99"/>
    <w:unhideWhenUsed/>
    <w:pPr>
      <w:pBdr/>
      <w:spacing w:after="0" w:afterAutospacing="0"/>
      <w:ind/>
    </w:pPr>
  </w:style>
  <w:style w:type="paragraph" w:styleId="645" w:default="1">
    <w:name w:val="Normal"/>
    <w:qFormat/>
    <w:pPr>
      <w:pBdr/>
      <w:spacing/>
      <w:ind/>
    </w:pPr>
  </w:style>
  <w:style w:type="paragraph" w:styleId="646">
    <w:name w:val="Heading 1"/>
    <w:basedOn w:val="645"/>
    <w:link w:val="652"/>
    <w:uiPriority w:val="9"/>
    <w:qFormat/>
    <w:pPr>
      <w:pBdr/>
      <w:spacing w:after="100" w:afterAutospacing="1" w:before="100" w:beforeAutospacing="1"/>
      <w:ind/>
      <w:outlineLvl w:val="0"/>
    </w:pPr>
    <w:rPr>
      <w:rFonts w:ascii="Times New Roman" w:hAnsi="Times New Roman" w:eastAsia="Times New Roman" w:cs="Times New Roman"/>
      <w:b/>
      <w:bCs/>
      <w:sz w:val="48"/>
      <w:szCs w:val="48"/>
      <w:lang w:eastAsia="ru-RU"/>
    </w:rPr>
  </w:style>
  <w:style w:type="paragraph" w:styleId="647">
    <w:name w:val="Heading 2"/>
    <w:basedOn w:val="645"/>
    <w:link w:val="653"/>
    <w:uiPriority w:val="9"/>
    <w:qFormat/>
    <w:pPr>
      <w:pBdr/>
      <w:spacing w:after="100" w:afterAutospacing="1" w:before="100" w:beforeAutospacing="1"/>
      <w:ind/>
      <w:outlineLvl w:val="1"/>
    </w:pPr>
    <w:rPr>
      <w:rFonts w:ascii="Times New Roman" w:hAnsi="Times New Roman" w:eastAsia="Times New Roman" w:cs="Times New Roman"/>
      <w:b/>
      <w:bCs/>
      <w:sz w:val="36"/>
      <w:szCs w:val="36"/>
      <w:lang w:eastAsia="ru-RU"/>
    </w:rPr>
  </w:style>
  <w:style w:type="paragraph" w:styleId="648">
    <w:name w:val="Heading 3"/>
    <w:basedOn w:val="645"/>
    <w:link w:val="654"/>
    <w:uiPriority w:val="9"/>
    <w:qFormat/>
    <w:pPr>
      <w:pBdr/>
      <w:spacing w:after="100" w:afterAutospacing="1" w:before="100" w:beforeAutospacing="1"/>
      <w:ind/>
      <w:outlineLvl w:val="2"/>
    </w:pPr>
    <w:rPr>
      <w:rFonts w:ascii="Times New Roman" w:hAnsi="Times New Roman" w:eastAsia="Times New Roman" w:cs="Times New Roman"/>
      <w:b/>
      <w:bCs/>
      <w:sz w:val="27"/>
      <w:szCs w:val="27"/>
      <w:lang w:eastAsia="ru-RU"/>
    </w:rPr>
  </w:style>
  <w:style w:type="character" w:styleId="649" w:default="1">
    <w:name w:val="Default Paragraph Font"/>
    <w:uiPriority w:val="1"/>
    <w:semiHidden/>
    <w:unhideWhenUsed/>
    <w:pPr>
      <w:pBdr/>
      <w:spacing/>
      <w:ind/>
    </w:pPr>
  </w:style>
  <w:style w:type="table" w:styleId="65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1" w:default="1">
    <w:name w:val="No List"/>
    <w:uiPriority w:val="99"/>
    <w:semiHidden/>
    <w:unhideWhenUsed/>
    <w:pPr>
      <w:pBdr/>
      <w:spacing/>
      <w:ind/>
    </w:pPr>
  </w:style>
  <w:style w:type="character" w:styleId="652" w:customStyle="1">
    <w:name w:val="Заголовок 1 Знак"/>
    <w:basedOn w:val="649"/>
    <w:link w:val="646"/>
    <w:uiPriority w:val="9"/>
    <w:pPr>
      <w:pBdr/>
      <w:spacing/>
      <w:ind/>
    </w:pPr>
    <w:rPr>
      <w:rFonts w:ascii="Times New Roman" w:hAnsi="Times New Roman" w:eastAsia="Times New Roman" w:cs="Times New Roman"/>
      <w:b/>
      <w:bCs/>
      <w:sz w:val="48"/>
      <w:szCs w:val="48"/>
      <w:lang w:eastAsia="ru-RU"/>
    </w:rPr>
  </w:style>
  <w:style w:type="character" w:styleId="653" w:customStyle="1">
    <w:name w:val="Заголовок 2 Знак"/>
    <w:basedOn w:val="649"/>
    <w:link w:val="647"/>
    <w:uiPriority w:val="9"/>
    <w:pPr>
      <w:pBdr/>
      <w:spacing/>
      <w:ind/>
    </w:pPr>
    <w:rPr>
      <w:rFonts w:ascii="Times New Roman" w:hAnsi="Times New Roman" w:eastAsia="Times New Roman" w:cs="Times New Roman"/>
      <w:b/>
      <w:bCs/>
      <w:sz w:val="36"/>
      <w:szCs w:val="36"/>
      <w:lang w:eastAsia="ru-RU"/>
    </w:rPr>
  </w:style>
  <w:style w:type="character" w:styleId="654" w:customStyle="1">
    <w:name w:val="Заголовок 3 Знак"/>
    <w:basedOn w:val="649"/>
    <w:link w:val="648"/>
    <w:uiPriority w:val="9"/>
    <w:pPr>
      <w:pBdr/>
      <w:spacing/>
      <w:ind/>
    </w:pPr>
    <w:rPr>
      <w:rFonts w:ascii="Times New Roman" w:hAnsi="Times New Roman" w:eastAsia="Times New Roman" w:cs="Times New Roman"/>
      <w:b/>
      <w:bCs/>
      <w:sz w:val="27"/>
      <w:szCs w:val="27"/>
      <w:lang w:eastAsia="ru-RU"/>
    </w:rPr>
  </w:style>
  <w:style w:type="paragraph" w:styleId="655">
    <w:name w:val="Normal (Web)"/>
    <w:basedOn w:val="645"/>
    <w:uiPriority w:val="99"/>
    <w:semiHidden/>
    <w:unhideWhenUsed/>
    <w:pPr>
      <w:pBdr/>
      <w:spacing w:after="100" w:afterAutospacing="1" w:before="100" w:beforeAutospacing="1"/>
      <w:ind/>
    </w:pPr>
    <w:rPr>
      <w:rFonts w:ascii="Times New Roman" w:hAnsi="Times New Roman" w:eastAsia="Times New Roman" w:cs="Times New Roman"/>
      <w:lang w:eastAsia="ru-RU"/>
    </w:rPr>
  </w:style>
  <w:style w:type="character" w:styleId="656">
    <w:name w:val="Strong"/>
    <w:basedOn w:val="649"/>
    <w:uiPriority w:val="22"/>
    <w:qFormat/>
    <w:pPr>
      <w:pBdr/>
      <w:spacing/>
      <w:ind/>
    </w:pPr>
    <w:rPr>
      <w:b/>
      <w:bCs/>
    </w:rPr>
  </w:style>
  <w:style w:type="character" w:styleId="657">
    <w:name w:val="Emphasis"/>
    <w:basedOn w:val="649"/>
    <w:uiPriority w:val="20"/>
    <w:qFormat/>
    <w:pPr>
      <w:pBdr/>
      <w:spacing/>
      <w:ind/>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Maria G</cp:lastModifiedBy>
  <cp:revision>3</cp:revision>
  <dcterms:created xsi:type="dcterms:W3CDTF">2025-06-27T16:43:00Z</dcterms:created>
  <dcterms:modified xsi:type="dcterms:W3CDTF">2025-06-30T08:19:55Z</dcterms:modified>
</cp:coreProperties>
</file>