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B911" w14:textId="77777777" w:rsidR="007D3A5B" w:rsidRDefault="00BE67A9">
      <w:pPr>
        <w:spacing w:before="120" w:after="100"/>
      </w:pPr>
      <w:r>
        <w:rPr>
          <w:b/>
          <w:bCs/>
          <w:color w:val="3A8F8A"/>
          <w:sz w:val="24"/>
          <w:szCs w:val="24"/>
        </w:rPr>
        <w:t>T I S K O V Á   Z P R Á V A</w:t>
      </w:r>
    </w:p>
    <w:p w14:paraId="78BD844F" w14:textId="77777777" w:rsidR="007D3A5B" w:rsidRPr="003B0818" w:rsidRDefault="00BE67A9" w:rsidP="003B0818">
      <w:pPr>
        <w:spacing w:after="180" w:line="276" w:lineRule="auto"/>
        <w:rPr>
          <w:sz w:val="20"/>
          <w:szCs w:val="20"/>
        </w:rPr>
      </w:pPr>
      <w:r w:rsidRPr="003B0818">
        <w:rPr>
          <w:b/>
          <w:bCs/>
          <w:color w:val="111827"/>
          <w:sz w:val="32"/>
          <w:szCs w:val="32"/>
        </w:rPr>
        <w:t>Asociace soukromých poskytovatelů zdravotních služeb představila priority pro kvalitní, dostupné a udržitelné zdravotnictví</w:t>
      </w:r>
    </w:p>
    <w:p w14:paraId="1989C150" w14:textId="77777777" w:rsidR="007D3A5B" w:rsidRDefault="007D3A5B">
      <w:pPr>
        <w:pBdr>
          <w:bottom w:val="single" w:sz="12" w:space="1" w:color="5EB5AF"/>
        </w:pBdr>
        <w:spacing w:after="2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6"/>
        <w:gridCol w:w="1805"/>
        <w:gridCol w:w="1805"/>
        <w:gridCol w:w="1805"/>
        <w:gridCol w:w="1805"/>
      </w:tblGrid>
      <w:tr w:rsidR="007D3A5B" w14:paraId="24CE8C49" w14:textId="77777777">
        <w:tc>
          <w:tcPr>
            <w:tcW w:w="1805" w:type="dxa"/>
            <w:tcBorders>
              <w:top w:val="single" w:sz="0" w:space="0" w:color="EAF5F4"/>
              <w:left w:val="single" w:sz="12" w:space="0" w:color="FFFFFF"/>
              <w:bottom w:val="single" w:sz="0" w:space="0" w:color="EAF5F4"/>
              <w:right w:val="single" w:sz="12" w:space="0" w:color="FFFFFF"/>
            </w:tcBorders>
            <w:shd w:val="clear" w:color="auto" w:fill="EAF5F4"/>
            <w:tcMar>
              <w:top w:w="220" w:type="dxa"/>
              <w:left w:w="100" w:type="dxa"/>
              <w:bottom w:w="220" w:type="dxa"/>
              <w:right w:w="100" w:type="dxa"/>
            </w:tcMar>
            <w:vAlign w:val="center"/>
          </w:tcPr>
          <w:p w14:paraId="54C9E238" w14:textId="77777777" w:rsidR="007D3A5B" w:rsidRDefault="00BE67A9">
            <w:pPr>
              <w:spacing w:after="60"/>
              <w:jc w:val="center"/>
            </w:pPr>
            <w:r>
              <w:rPr>
                <w:b/>
                <w:bCs/>
                <w:color w:val="3A8F8A"/>
                <w:sz w:val="40"/>
                <w:szCs w:val="40"/>
              </w:rPr>
              <w:t>25 000+</w:t>
            </w:r>
          </w:p>
          <w:p w14:paraId="5FF8551C" w14:textId="77777777" w:rsidR="007D3A5B" w:rsidRDefault="00BE67A9">
            <w:pPr>
              <w:spacing w:line="220" w:lineRule="auto"/>
              <w:jc w:val="center"/>
            </w:pPr>
            <w:r>
              <w:rPr>
                <w:b/>
                <w:bCs/>
                <w:color w:val="111827"/>
                <w:sz w:val="14"/>
                <w:szCs w:val="14"/>
              </w:rPr>
              <w:t>ZAMĚSTNANCŮ</w:t>
            </w:r>
          </w:p>
        </w:tc>
        <w:tc>
          <w:tcPr>
            <w:tcW w:w="1805" w:type="dxa"/>
            <w:tcBorders>
              <w:top w:val="single" w:sz="0" w:space="0" w:color="EAF5F4"/>
              <w:left w:val="single" w:sz="12" w:space="0" w:color="FFFFFF"/>
              <w:bottom w:val="single" w:sz="0" w:space="0" w:color="EAF5F4"/>
              <w:right w:val="single" w:sz="12" w:space="0" w:color="FFFFFF"/>
            </w:tcBorders>
            <w:shd w:val="clear" w:color="auto" w:fill="EAF5F4"/>
            <w:tcMar>
              <w:top w:w="220" w:type="dxa"/>
              <w:left w:w="100" w:type="dxa"/>
              <w:bottom w:w="220" w:type="dxa"/>
              <w:right w:w="100" w:type="dxa"/>
            </w:tcMar>
            <w:vAlign w:val="center"/>
          </w:tcPr>
          <w:p w14:paraId="54E5FA0C" w14:textId="77777777" w:rsidR="007D3A5B" w:rsidRDefault="00BE67A9">
            <w:pPr>
              <w:spacing w:after="60"/>
              <w:jc w:val="center"/>
            </w:pPr>
            <w:r>
              <w:rPr>
                <w:b/>
                <w:bCs/>
                <w:color w:val="3A8F8A"/>
                <w:sz w:val="40"/>
                <w:szCs w:val="40"/>
              </w:rPr>
              <w:t>3 700+</w:t>
            </w:r>
          </w:p>
          <w:p w14:paraId="15B68743" w14:textId="77777777" w:rsidR="007D3A5B" w:rsidRDefault="00BE67A9">
            <w:pPr>
              <w:spacing w:line="220" w:lineRule="auto"/>
              <w:jc w:val="center"/>
            </w:pPr>
            <w:r>
              <w:rPr>
                <w:b/>
                <w:bCs/>
                <w:color w:val="111827"/>
                <w:sz w:val="14"/>
                <w:szCs w:val="14"/>
              </w:rPr>
              <w:t>LÉKAŘŮ</w:t>
            </w:r>
          </w:p>
        </w:tc>
        <w:tc>
          <w:tcPr>
            <w:tcW w:w="1805" w:type="dxa"/>
            <w:tcBorders>
              <w:top w:val="single" w:sz="0" w:space="0" w:color="EAF5F4"/>
              <w:left w:val="single" w:sz="12" w:space="0" w:color="FFFFFF"/>
              <w:bottom w:val="single" w:sz="0" w:space="0" w:color="EAF5F4"/>
              <w:right w:val="single" w:sz="12" w:space="0" w:color="FFFFFF"/>
            </w:tcBorders>
            <w:shd w:val="clear" w:color="auto" w:fill="EAF5F4"/>
            <w:tcMar>
              <w:top w:w="220" w:type="dxa"/>
              <w:left w:w="100" w:type="dxa"/>
              <w:bottom w:w="220" w:type="dxa"/>
              <w:right w:w="100" w:type="dxa"/>
            </w:tcMar>
            <w:vAlign w:val="center"/>
          </w:tcPr>
          <w:p w14:paraId="166FD435" w14:textId="77777777" w:rsidR="007D3A5B" w:rsidRDefault="00BE67A9">
            <w:pPr>
              <w:spacing w:after="60"/>
              <w:jc w:val="center"/>
            </w:pPr>
            <w:r>
              <w:rPr>
                <w:b/>
                <w:bCs/>
                <w:color w:val="3A8F8A"/>
                <w:sz w:val="40"/>
                <w:szCs w:val="40"/>
              </w:rPr>
              <w:t>14 200+</w:t>
            </w:r>
          </w:p>
          <w:p w14:paraId="5B2CB7F0" w14:textId="77777777" w:rsidR="007D3A5B" w:rsidRDefault="00BE67A9">
            <w:pPr>
              <w:spacing w:line="220" w:lineRule="auto"/>
              <w:jc w:val="center"/>
            </w:pPr>
            <w:r>
              <w:rPr>
                <w:b/>
                <w:bCs/>
                <w:color w:val="111827"/>
                <w:sz w:val="14"/>
                <w:szCs w:val="14"/>
              </w:rPr>
              <w:t>NELÉKAŘSKÝCH ZDR. PRACOVNÍKŮ</w:t>
            </w:r>
          </w:p>
        </w:tc>
        <w:tc>
          <w:tcPr>
            <w:tcW w:w="1805" w:type="dxa"/>
            <w:tcBorders>
              <w:top w:val="single" w:sz="0" w:space="0" w:color="EAF5F4"/>
              <w:left w:val="single" w:sz="12" w:space="0" w:color="FFFFFF"/>
              <w:bottom w:val="single" w:sz="0" w:space="0" w:color="EAF5F4"/>
              <w:right w:val="single" w:sz="12" w:space="0" w:color="FFFFFF"/>
            </w:tcBorders>
            <w:shd w:val="clear" w:color="auto" w:fill="EAF5F4"/>
            <w:tcMar>
              <w:top w:w="220" w:type="dxa"/>
              <w:left w:w="100" w:type="dxa"/>
              <w:bottom w:w="220" w:type="dxa"/>
              <w:right w:w="100" w:type="dxa"/>
            </w:tcMar>
            <w:vAlign w:val="center"/>
          </w:tcPr>
          <w:p w14:paraId="5D99655A" w14:textId="77777777" w:rsidR="007D3A5B" w:rsidRDefault="00BE67A9">
            <w:pPr>
              <w:spacing w:after="60"/>
              <w:jc w:val="center"/>
            </w:pPr>
            <w:r>
              <w:rPr>
                <w:b/>
                <w:bCs/>
                <w:color w:val="3A8F8A"/>
                <w:sz w:val="40"/>
                <w:szCs w:val="40"/>
              </w:rPr>
              <w:t>2+ mil.</w:t>
            </w:r>
          </w:p>
          <w:p w14:paraId="60D20E80" w14:textId="77777777" w:rsidR="007D3A5B" w:rsidRDefault="00BE67A9">
            <w:pPr>
              <w:spacing w:line="220" w:lineRule="auto"/>
              <w:jc w:val="center"/>
            </w:pPr>
            <w:r>
              <w:rPr>
                <w:b/>
                <w:bCs/>
                <w:color w:val="111827"/>
                <w:sz w:val="14"/>
                <w:szCs w:val="14"/>
              </w:rPr>
              <w:t>PACIENTŮ / PŘÍPADŮ ROČNĚ</w:t>
            </w:r>
          </w:p>
        </w:tc>
        <w:tc>
          <w:tcPr>
            <w:tcW w:w="1805" w:type="dxa"/>
            <w:tcBorders>
              <w:top w:val="single" w:sz="0" w:space="0" w:color="EAF5F4"/>
              <w:left w:val="single" w:sz="12" w:space="0" w:color="FFFFFF"/>
              <w:bottom w:val="single" w:sz="0" w:space="0" w:color="EAF5F4"/>
              <w:right w:val="single" w:sz="12" w:space="0" w:color="FFFFFF"/>
            </w:tcBorders>
            <w:shd w:val="clear" w:color="auto" w:fill="EAF5F4"/>
            <w:tcMar>
              <w:top w:w="220" w:type="dxa"/>
              <w:left w:w="100" w:type="dxa"/>
              <w:bottom w:w="220" w:type="dxa"/>
              <w:right w:w="100" w:type="dxa"/>
            </w:tcMar>
            <w:vAlign w:val="center"/>
          </w:tcPr>
          <w:p w14:paraId="75833869" w14:textId="77777777" w:rsidR="007D3A5B" w:rsidRDefault="00BE67A9">
            <w:pPr>
              <w:spacing w:after="60"/>
              <w:jc w:val="center"/>
            </w:pPr>
            <w:r>
              <w:rPr>
                <w:b/>
                <w:bCs/>
                <w:color w:val="3A8F8A"/>
                <w:sz w:val="40"/>
                <w:szCs w:val="40"/>
              </w:rPr>
              <w:t>20+ mil.</w:t>
            </w:r>
          </w:p>
          <w:p w14:paraId="46181446" w14:textId="77777777" w:rsidR="007D3A5B" w:rsidRDefault="00BE67A9">
            <w:pPr>
              <w:spacing w:line="220" w:lineRule="auto"/>
              <w:jc w:val="center"/>
            </w:pPr>
            <w:r>
              <w:rPr>
                <w:b/>
                <w:bCs/>
                <w:color w:val="111827"/>
                <w:sz w:val="14"/>
                <w:szCs w:val="14"/>
              </w:rPr>
              <w:t>VÝKONŮ A OŠETŘENÍ ROČNĚ</w:t>
            </w:r>
          </w:p>
        </w:tc>
      </w:tr>
    </w:tbl>
    <w:p w14:paraId="22E8919B" w14:textId="77777777" w:rsidR="007D3A5B" w:rsidRDefault="007D3A5B">
      <w:pPr>
        <w:spacing w:before="160" w:after="120"/>
      </w:pPr>
    </w:p>
    <w:p w14:paraId="4F26ACEB" w14:textId="77777777" w:rsidR="007D3A5B" w:rsidRPr="003B0818" w:rsidRDefault="00BE67A9">
      <w:pPr>
        <w:spacing w:after="160" w:line="300" w:lineRule="auto"/>
        <w:jc w:val="both"/>
        <w:rPr>
          <w:sz w:val="20"/>
          <w:szCs w:val="20"/>
        </w:rPr>
      </w:pPr>
      <w:r w:rsidRPr="003B0818">
        <w:rPr>
          <w:b/>
          <w:bCs/>
          <w:sz w:val="20"/>
          <w:szCs w:val="20"/>
        </w:rPr>
        <w:t>Praha, 22. dubna 2026</w:t>
      </w:r>
      <w:r w:rsidRPr="003B0818">
        <w:rPr>
          <w:sz w:val="20"/>
          <w:szCs w:val="20"/>
        </w:rPr>
        <w:t xml:space="preserve"> –</w:t>
      </w:r>
      <w:r w:rsidRPr="003B0818">
        <w:rPr>
          <w:b/>
          <w:bCs/>
          <w:sz w:val="20"/>
          <w:szCs w:val="20"/>
        </w:rPr>
        <w:t xml:space="preserve"> Asociace soukromých poskytovatelů zdravotních služeb dnes na tiskové konferenci představila své hlavní priority pro další rozvoj českého zdravotnictví. Cílem asociace, jejíž členové se ročně starají o více než 2 miliony pacientů a zaměstnávají přes 25 tisíc lidí, je být respektovaným partnerem státu, odborné veřejnosti i dalších aktérů systému při hledání konkrétních řešení pro kvalitní, dostupné a dlouhodobě udržitelné zdravotnictví.</w:t>
      </w:r>
    </w:p>
    <w:p w14:paraId="19C48366" w14:textId="77777777" w:rsidR="007D3A5B" w:rsidRPr="003B0818" w:rsidRDefault="00BE67A9">
      <w:pPr>
        <w:spacing w:after="160" w:line="300" w:lineRule="auto"/>
        <w:jc w:val="both"/>
        <w:rPr>
          <w:sz w:val="20"/>
          <w:szCs w:val="20"/>
        </w:rPr>
      </w:pPr>
      <w:r w:rsidRPr="003B0818">
        <w:rPr>
          <w:sz w:val="20"/>
          <w:szCs w:val="20"/>
        </w:rPr>
        <w:t xml:space="preserve">Na tiskové konferenci vystoupili zástupci zakládajících členů asociace ze společností </w:t>
      </w:r>
      <w:r w:rsidRPr="003B0818">
        <w:rPr>
          <w:b/>
          <w:bCs/>
          <w:sz w:val="20"/>
          <w:szCs w:val="20"/>
        </w:rPr>
        <w:t>AGEL, Penta Hospitals, EUC, AKESO a FutureLife</w:t>
      </w:r>
      <w:r w:rsidRPr="003B0818">
        <w:rPr>
          <w:sz w:val="20"/>
          <w:szCs w:val="20"/>
        </w:rPr>
        <w:t>, kteří společně reprezentují významnou část soukromých zdravotních služeb v České republice. Konkrétně Michal Pišoja, předseda představenstva skupiny AGEL a.s., Barbora Vaculíková, CEO Penta Hospitals CZ, s.r.o., Jana Thomas Cílková, CEO EUC a.s., František Vlček, ředitel sekce rozvoje a inovací AKESO holding a.s., a Viktor Szabó, Group Treasury Director FutureLife.</w:t>
      </w:r>
    </w:p>
    <w:p w14:paraId="22F1933C" w14:textId="77777777" w:rsidR="007D3A5B" w:rsidRPr="003B0818" w:rsidRDefault="00BE67A9">
      <w:pPr>
        <w:spacing w:after="160" w:line="300" w:lineRule="auto"/>
        <w:jc w:val="both"/>
        <w:rPr>
          <w:sz w:val="20"/>
          <w:szCs w:val="20"/>
        </w:rPr>
      </w:pPr>
      <w:r w:rsidRPr="003B0818">
        <w:rPr>
          <w:sz w:val="20"/>
          <w:szCs w:val="20"/>
        </w:rPr>
        <w:t xml:space="preserve">Asociaci na úvod představil její prezident </w:t>
      </w:r>
      <w:r w:rsidRPr="003B0818">
        <w:rPr>
          <w:b/>
          <w:bCs/>
          <w:sz w:val="20"/>
          <w:szCs w:val="20"/>
        </w:rPr>
        <w:t>Šimon Toman</w:t>
      </w:r>
      <w:r w:rsidRPr="003B0818">
        <w:rPr>
          <w:sz w:val="20"/>
          <w:szCs w:val="20"/>
        </w:rPr>
        <w:t>, který zdůraznil, že soukromí poskytovatelé nejsou okrajovou součástí systému, ale jeho silnou, stabilní a nezastupitelnou součástí.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D3A5B" w:rsidRPr="003B0818" w14:paraId="20CB2318" w14:textId="77777777">
        <w:tc>
          <w:tcPr>
            <w:tcW w:w="9026" w:type="dxa"/>
            <w:tcBorders>
              <w:top w:val="single" w:sz="0" w:space="0" w:color="EAF5F4"/>
              <w:left w:val="single" w:sz="36" w:space="0" w:color="3A8F8A"/>
              <w:bottom w:val="single" w:sz="0" w:space="0" w:color="EAF5F4"/>
              <w:right w:val="single" w:sz="0" w:space="0" w:color="EAF5F4"/>
            </w:tcBorders>
            <w:shd w:val="clear" w:color="auto" w:fill="EAF5F4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28AA1A99" w14:textId="77777777" w:rsidR="007D3A5B" w:rsidRPr="003B0818" w:rsidRDefault="00BE67A9">
            <w:pPr>
              <w:spacing w:line="320" w:lineRule="auto"/>
              <w:rPr>
                <w:sz w:val="20"/>
                <w:szCs w:val="20"/>
              </w:rPr>
            </w:pPr>
            <w:r w:rsidRPr="003B0818">
              <w:rPr>
                <w:b/>
                <w:bCs/>
                <w:color w:val="3A8F8A"/>
                <w:sz w:val="20"/>
                <w:szCs w:val="20"/>
              </w:rPr>
              <w:t>„</w:t>
            </w:r>
            <w:r w:rsidRPr="003B0818">
              <w:rPr>
                <w:i/>
                <w:iCs/>
                <w:color w:val="111827"/>
                <w:sz w:val="20"/>
                <w:szCs w:val="20"/>
              </w:rPr>
              <w:t>Naším cílem je sjednotit hlas soukromých poskytovatelů a vytvořit co nejsilnější mandát pro jednání se všemi relevantními institucemi. Chceme být aktivní součástí řešení, podporovat potřebné reformy a přispívat svými zkušenostmi i kapacitami,</w:t>
            </w:r>
            <w:r w:rsidRPr="003B0818">
              <w:rPr>
                <w:b/>
                <w:bCs/>
                <w:color w:val="3A8F8A"/>
                <w:sz w:val="20"/>
                <w:szCs w:val="20"/>
              </w:rPr>
              <w:t>“</w:t>
            </w:r>
          </w:p>
        </w:tc>
      </w:tr>
    </w:tbl>
    <w:p w14:paraId="4B08A032" w14:textId="01582C7D" w:rsidR="003B0818" w:rsidRPr="003B0818" w:rsidRDefault="00BE67A9" w:rsidP="003B0818">
      <w:pPr>
        <w:spacing w:before="180" w:after="160" w:line="300" w:lineRule="auto"/>
        <w:jc w:val="both"/>
        <w:rPr>
          <w:sz w:val="20"/>
          <w:szCs w:val="20"/>
        </w:rPr>
      </w:pPr>
      <w:r w:rsidRPr="007906FE">
        <w:rPr>
          <w:b/>
          <w:bCs/>
          <w:sz w:val="20"/>
          <w:szCs w:val="20"/>
        </w:rPr>
        <w:t>uvedl prezident asociace Šimon Toman</w:t>
      </w:r>
      <w:r w:rsidRPr="003B0818">
        <w:rPr>
          <w:sz w:val="20"/>
          <w:szCs w:val="20"/>
        </w:rPr>
        <w:t xml:space="preserve">, který nově působí také jako </w:t>
      </w:r>
      <w:r w:rsidRPr="007906FE">
        <w:rPr>
          <w:b/>
          <w:bCs/>
          <w:sz w:val="20"/>
          <w:szCs w:val="20"/>
        </w:rPr>
        <w:t>předseda zdravotní a sociální sekce Hospodářské komory</w:t>
      </w:r>
      <w:r w:rsidRPr="003B0818">
        <w:rPr>
          <w:sz w:val="20"/>
          <w:szCs w:val="20"/>
        </w:rPr>
        <w:t xml:space="preserve"> a </w:t>
      </w:r>
      <w:r w:rsidRPr="007906FE">
        <w:rPr>
          <w:b/>
          <w:bCs/>
          <w:sz w:val="20"/>
          <w:szCs w:val="20"/>
        </w:rPr>
        <w:t>předseda Sdružení soukromých nemocnic.</w:t>
      </w:r>
      <w:r w:rsidR="003B0818" w:rsidRPr="003B0818">
        <w:rPr>
          <w:sz w:val="20"/>
          <w:szCs w:val="20"/>
        </w:rPr>
        <w:t xml:space="preserve"> </w:t>
      </w:r>
    </w:p>
    <w:p w14:paraId="34661B41" w14:textId="4CE6BDB5" w:rsidR="007D3A5B" w:rsidRDefault="00BE67A9" w:rsidP="003B0818">
      <w:pPr>
        <w:spacing w:before="180" w:after="160" w:line="300" w:lineRule="auto"/>
        <w:jc w:val="both"/>
        <w:rPr>
          <w:sz w:val="20"/>
          <w:szCs w:val="20"/>
        </w:rPr>
      </w:pPr>
      <w:r w:rsidRPr="003B0818">
        <w:rPr>
          <w:sz w:val="20"/>
          <w:szCs w:val="20"/>
        </w:rPr>
        <w:t xml:space="preserve">Asociace upozornila, že české zdravotnictví stojí před dlouhodobými a zásadními výzvami. Mezi nejvýznamnější patří nepříznivý demografický vývoj, rostoucí tlak na zdravotní a sociální služby, narůstající náklady na péči a přetrvávající personální krize. Právě proto podle asociace musí být další rozvoj zdravotnictví postaven na třech základních principech – </w:t>
      </w:r>
      <w:r w:rsidRPr="003B0818">
        <w:rPr>
          <w:b/>
          <w:bCs/>
          <w:sz w:val="20"/>
          <w:szCs w:val="20"/>
        </w:rPr>
        <w:t>dostupnosti, udržitelnosti a kvalitě</w:t>
      </w:r>
      <w:r w:rsidRPr="003B0818">
        <w:rPr>
          <w:sz w:val="20"/>
          <w:szCs w:val="20"/>
        </w:rPr>
        <w:t>.</w:t>
      </w:r>
    </w:p>
    <w:p w14:paraId="1D0E5C56" w14:textId="77777777" w:rsidR="003B0818" w:rsidRPr="003B0818" w:rsidRDefault="003B0818" w:rsidP="003B0818">
      <w:pPr>
        <w:spacing w:before="180" w:after="160" w:line="300" w:lineRule="auto"/>
        <w:jc w:val="both"/>
        <w:rPr>
          <w:sz w:val="20"/>
          <w:szCs w:val="20"/>
        </w:rPr>
      </w:pPr>
    </w:p>
    <w:p w14:paraId="4F0541C7" w14:textId="77777777" w:rsidR="003B0818" w:rsidRDefault="003B0818">
      <w:pPr>
        <w:spacing w:before="240" w:after="160"/>
        <w:rPr>
          <w:b/>
          <w:bCs/>
          <w:color w:val="3A8F8A"/>
          <w:sz w:val="20"/>
          <w:szCs w:val="20"/>
        </w:rPr>
      </w:pPr>
    </w:p>
    <w:p w14:paraId="4C305E49" w14:textId="4AF90A19" w:rsidR="007D3A5B" w:rsidRPr="003B0818" w:rsidRDefault="00BE67A9">
      <w:pPr>
        <w:spacing w:before="240" w:after="160"/>
        <w:rPr>
          <w:sz w:val="20"/>
          <w:szCs w:val="20"/>
        </w:rPr>
      </w:pPr>
      <w:r w:rsidRPr="003B0818">
        <w:rPr>
          <w:b/>
          <w:bCs/>
          <w:color w:val="3A8F8A"/>
          <w:sz w:val="20"/>
          <w:szCs w:val="20"/>
        </w:rPr>
        <w:t>HLAVNÍ PRIORITY ASOCIACE</w:t>
      </w:r>
    </w:p>
    <w:p w14:paraId="769DEFE8" w14:textId="77777777" w:rsidR="007D3A5B" w:rsidRPr="003B0818" w:rsidRDefault="00BE67A9">
      <w:pPr>
        <w:pBdr>
          <w:left w:val="single" w:sz="24" w:space="8" w:color="3A8F8A"/>
        </w:pBdr>
        <w:spacing w:before="160" w:after="80" w:line="300" w:lineRule="auto"/>
        <w:ind w:left="120"/>
        <w:rPr>
          <w:sz w:val="20"/>
          <w:szCs w:val="20"/>
        </w:rPr>
      </w:pPr>
      <w:r w:rsidRPr="003B0818">
        <w:rPr>
          <w:b/>
          <w:bCs/>
          <w:color w:val="111827"/>
          <w:sz w:val="20"/>
          <w:szCs w:val="20"/>
        </w:rPr>
        <w:t>Předvídatelné a udržitelné financování zdravotnictví</w:t>
      </w:r>
    </w:p>
    <w:p w14:paraId="24098BDF" w14:textId="77777777" w:rsidR="007D3A5B" w:rsidRPr="003B0818" w:rsidRDefault="00BE67A9">
      <w:pPr>
        <w:spacing w:after="160" w:line="300" w:lineRule="auto"/>
        <w:jc w:val="both"/>
        <w:rPr>
          <w:sz w:val="20"/>
          <w:szCs w:val="20"/>
        </w:rPr>
      </w:pPr>
      <w:r w:rsidRPr="003B0818">
        <w:rPr>
          <w:sz w:val="20"/>
          <w:szCs w:val="20"/>
        </w:rPr>
        <w:t>Asociace prosazuje nastavení předvídatelného a dlouhodobého rámce úhrad, který umožní odpovědné plánování péče i investic. Součástí debaty musí být také důraz na zohlednění kvality poskytované péče a otevření diskuse o nových zdrojích financování. Dlouhodobě udržitelné financování je základní podmínkou stability celého systému.</w:t>
      </w:r>
    </w:p>
    <w:p w14:paraId="1D47B5C4" w14:textId="77777777" w:rsidR="007D3A5B" w:rsidRPr="003B0818" w:rsidRDefault="00BE67A9">
      <w:pPr>
        <w:pBdr>
          <w:left w:val="single" w:sz="24" w:space="8" w:color="3A8F8A"/>
        </w:pBdr>
        <w:spacing w:before="160" w:after="80" w:line="300" w:lineRule="auto"/>
        <w:ind w:left="120"/>
        <w:rPr>
          <w:sz w:val="20"/>
          <w:szCs w:val="20"/>
        </w:rPr>
      </w:pPr>
      <w:r w:rsidRPr="003B0818">
        <w:rPr>
          <w:b/>
          <w:bCs/>
          <w:color w:val="111827"/>
          <w:sz w:val="20"/>
          <w:szCs w:val="20"/>
        </w:rPr>
        <w:t>Posílení kompetencí nelékařských zdravotnických pracovníků</w:t>
      </w:r>
    </w:p>
    <w:p w14:paraId="6314EC2E" w14:textId="77777777" w:rsidR="007D3A5B" w:rsidRPr="003B0818" w:rsidRDefault="00BE67A9">
      <w:pPr>
        <w:spacing w:after="160" w:line="300" w:lineRule="auto"/>
        <w:jc w:val="both"/>
        <w:rPr>
          <w:sz w:val="20"/>
          <w:szCs w:val="20"/>
        </w:rPr>
      </w:pPr>
      <w:r w:rsidRPr="003B0818">
        <w:rPr>
          <w:sz w:val="20"/>
          <w:szCs w:val="20"/>
        </w:rPr>
        <w:t>Jednou z klíčových priorit je efektivnější využití lidského kapitálu ve zdravotnictví. Asociace podporuje reformu kompetencí, která umožní lépe rozdělit činnosti v rámci zdravotnických týmů podle odbornosti a kvalifikace jednotlivých profesí.</w:t>
      </w:r>
    </w:p>
    <w:p w14:paraId="34B58198" w14:textId="77777777" w:rsidR="007D3A5B" w:rsidRPr="003B0818" w:rsidRDefault="00BE67A9">
      <w:pPr>
        <w:pBdr>
          <w:left w:val="single" w:sz="24" w:space="8" w:color="3A8F8A"/>
        </w:pBdr>
        <w:spacing w:before="160" w:after="80" w:line="300" w:lineRule="auto"/>
        <w:ind w:left="120"/>
        <w:rPr>
          <w:sz w:val="20"/>
          <w:szCs w:val="20"/>
        </w:rPr>
      </w:pPr>
      <w:r w:rsidRPr="003B0818">
        <w:rPr>
          <w:b/>
          <w:bCs/>
          <w:color w:val="111827"/>
          <w:sz w:val="20"/>
          <w:szCs w:val="20"/>
        </w:rPr>
        <w:t>Podpora moderních forem péče</w:t>
      </w:r>
    </w:p>
    <w:p w14:paraId="323978BD" w14:textId="77777777" w:rsidR="007D3A5B" w:rsidRPr="003B0818" w:rsidRDefault="00BE67A9">
      <w:pPr>
        <w:spacing w:after="160" w:line="300" w:lineRule="auto"/>
        <w:jc w:val="both"/>
        <w:rPr>
          <w:sz w:val="20"/>
          <w:szCs w:val="20"/>
        </w:rPr>
      </w:pPr>
      <w:r w:rsidRPr="003B0818">
        <w:rPr>
          <w:sz w:val="20"/>
          <w:szCs w:val="20"/>
        </w:rPr>
        <w:t>Budoucnost zdravotnictví podle asociace spočívá také v rozvoji péče blíže pacientovi. Patří sem zejména jednodenní chirurgie, domácí péče a další moderní modely poskytování zdravotních služeb, které mohou při správném nastavení přinést vyšší komfort pacientům, efektivnější využití kapacit i lepší výsledky léčby.</w:t>
      </w:r>
    </w:p>
    <w:p w14:paraId="61D9C04D" w14:textId="77777777" w:rsidR="007D3A5B" w:rsidRPr="003B0818" w:rsidRDefault="00BE67A9">
      <w:pPr>
        <w:pBdr>
          <w:left w:val="single" w:sz="24" w:space="8" w:color="3A8F8A"/>
        </w:pBdr>
        <w:spacing w:before="160" w:after="80" w:line="300" w:lineRule="auto"/>
        <w:ind w:left="120"/>
        <w:rPr>
          <w:sz w:val="20"/>
          <w:szCs w:val="20"/>
        </w:rPr>
      </w:pPr>
      <w:r w:rsidRPr="003B0818">
        <w:rPr>
          <w:b/>
          <w:bCs/>
          <w:color w:val="111827"/>
          <w:sz w:val="20"/>
          <w:szCs w:val="20"/>
        </w:rPr>
        <w:t>Digitalizace a inovace ve zdravotnictví</w:t>
      </w:r>
    </w:p>
    <w:p w14:paraId="79B33B69" w14:textId="77777777" w:rsidR="007D3A5B" w:rsidRPr="003B0818" w:rsidRDefault="00BE67A9">
      <w:pPr>
        <w:spacing w:after="160" w:line="300" w:lineRule="auto"/>
        <w:jc w:val="both"/>
        <w:rPr>
          <w:sz w:val="20"/>
          <w:szCs w:val="20"/>
        </w:rPr>
      </w:pPr>
      <w:r w:rsidRPr="003B0818">
        <w:rPr>
          <w:sz w:val="20"/>
          <w:szCs w:val="20"/>
        </w:rPr>
        <w:t>Asociace zdůrazňuje potřebu urychlit digitalizaci zdravotnictví tak, aby vedla ke skutečnému snížení administrativní zátěže, lepšímu sdílení informací a většímu prostoru pro samotnou péči o pacienta.</w:t>
      </w:r>
    </w:p>
    <w:p w14:paraId="6BFB2B7F" w14:textId="77777777" w:rsidR="007D3A5B" w:rsidRPr="003B0818" w:rsidRDefault="00BE67A9">
      <w:pPr>
        <w:pBdr>
          <w:left w:val="single" w:sz="24" w:space="8" w:color="3A8F8A"/>
        </w:pBdr>
        <w:spacing w:before="160" w:after="80" w:line="300" w:lineRule="auto"/>
        <w:ind w:left="120"/>
        <w:rPr>
          <w:sz w:val="20"/>
          <w:szCs w:val="20"/>
        </w:rPr>
      </w:pPr>
      <w:r w:rsidRPr="003B0818">
        <w:rPr>
          <w:b/>
          <w:bCs/>
          <w:color w:val="111827"/>
          <w:sz w:val="20"/>
          <w:szCs w:val="20"/>
        </w:rPr>
        <w:t>Restrukturalizace péče a správné uspořádání sítě služeb</w:t>
      </w:r>
    </w:p>
    <w:p w14:paraId="1DC086D3" w14:textId="77777777" w:rsidR="007D3A5B" w:rsidRPr="003B0818" w:rsidRDefault="00BE67A9">
      <w:pPr>
        <w:spacing w:after="160" w:line="300" w:lineRule="auto"/>
        <w:jc w:val="both"/>
        <w:rPr>
          <w:sz w:val="20"/>
          <w:szCs w:val="20"/>
        </w:rPr>
      </w:pPr>
      <w:r w:rsidRPr="003B0818">
        <w:rPr>
          <w:sz w:val="20"/>
          <w:szCs w:val="20"/>
        </w:rPr>
        <w:t>Stabilní a regionálně dostupná péče vyžaduje promyšlené nastavení sítě zdravotních služeb a jasné vymezení role jednotlivých segmentů péče podle potřeb pacientů a systému s ohledem na demografický vývoj v ČR. Asociace zároveň varuje před takovými kroky, které by ve jménu úspor vedly ke zhoršení regionální dostupnosti zdravotních služeb pro pacienty.</w:t>
      </w:r>
    </w:p>
    <w:p w14:paraId="39B0551A" w14:textId="77777777" w:rsidR="003B0818" w:rsidRDefault="003B0818">
      <w:pPr>
        <w:spacing w:after="160" w:line="300" w:lineRule="auto"/>
        <w:jc w:val="both"/>
        <w:rPr>
          <w:sz w:val="20"/>
          <w:szCs w:val="20"/>
        </w:rPr>
      </w:pPr>
    </w:p>
    <w:p w14:paraId="072F8682" w14:textId="17B9459D" w:rsidR="007D3A5B" w:rsidRPr="003B0818" w:rsidRDefault="00BE67A9">
      <w:pPr>
        <w:spacing w:after="160" w:line="300" w:lineRule="auto"/>
        <w:jc w:val="both"/>
        <w:rPr>
          <w:sz w:val="20"/>
          <w:szCs w:val="20"/>
        </w:rPr>
      </w:pPr>
      <w:r w:rsidRPr="003B0818">
        <w:rPr>
          <w:sz w:val="20"/>
          <w:szCs w:val="20"/>
        </w:rPr>
        <w:t>Asociace zároveň ocenila přístup Ministerstva zdravotnictví a deklarovala připravenost aktivně se podílet na přípravě a prosazování reforem. Pozitivně vnímá také otevřenost Všeobecné zdravotní pojišťovny ČR k debatě o nových přístupech k úhradám a organizaci péče, včetně modelů, které ve větší míře zohledňují kvalitu a výsledky léčby. Zástupci asociace také zdůraznili, že nechtějí být organizací, která změny blokuje, ale partnerem, který pomáhá hledat funkční a realistická řešení.</w:t>
      </w:r>
    </w:p>
    <w:p w14:paraId="4547EA30" w14:textId="77777777" w:rsidR="007D3A5B" w:rsidRPr="003B0818" w:rsidRDefault="007D3A5B">
      <w:pPr>
        <w:pBdr>
          <w:top w:val="single" w:sz="8" w:space="6" w:color="5EB5AF"/>
        </w:pBdr>
        <w:spacing w:before="320" w:after="80"/>
        <w:rPr>
          <w:sz w:val="20"/>
          <w:szCs w:val="20"/>
        </w:rPr>
      </w:pPr>
    </w:p>
    <w:p w14:paraId="72F01FC8" w14:textId="77777777" w:rsidR="007D3A5B" w:rsidRPr="003B0818" w:rsidRDefault="00BE67A9">
      <w:pPr>
        <w:spacing w:after="40"/>
        <w:rPr>
          <w:sz w:val="20"/>
          <w:szCs w:val="20"/>
        </w:rPr>
      </w:pPr>
      <w:r w:rsidRPr="003B0818">
        <w:rPr>
          <w:b/>
          <w:bCs/>
          <w:color w:val="3A8F8A"/>
          <w:sz w:val="20"/>
          <w:szCs w:val="20"/>
        </w:rPr>
        <w:t>Kontakt pro média:</w:t>
      </w:r>
    </w:p>
    <w:p w14:paraId="01002E87" w14:textId="77777777" w:rsidR="007D3A5B" w:rsidRPr="003B0818" w:rsidRDefault="00BE67A9">
      <w:pPr>
        <w:spacing w:after="120"/>
        <w:rPr>
          <w:sz w:val="20"/>
          <w:szCs w:val="20"/>
        </w:rPr>
      </w:pPr>
      <w:hyperlink r:id="rId7" w:history="1">
        <w:r w:rsidRPr="003B0818">
          <w:rPr>
            <w:color w:val="3A8F8A"/>
            <w:sz w:val="20"/>
            <w:szCs w:val="20"/>
            <w:u w:val="single"/>
          </w:rPr>
          <w:t>info@aspzs.cz</w:t>
        </w:r>
      </w:hyperlink>
    </w:p>
    <w:sectPr w:rsidR="007D3A5B" w:rsidRPr="003B0818" w:rsidSect="003B0818">
      <w:headerReference w:type="default" r:id="rId8"/>
      <w:footerReference w:type="default" r:id="rId9"/>
      <w:pgSz w:w="11906" w:h="16838"/>
      <w:pgMar w:top="1549" w:right="1440" w:bottom="1440" w:left="1440" w:header="720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2564" w14:textId="77777777" w:rsidR="00584B0C" w:rsidRDefault="00584B0C">
      <w:r>
        <w:separator/>
      </w:r>
    </w:p>
  </w:endnote>
  <w:endnote w:type="continuationSeparator" w:id="0">
    <w:p w14:paraId="2FD43E0E" w14:textId="77777777" w:rsidR="00584B0C" w:rsidRDefault="0058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449F" w14:textId="77777777" w:rsidR="007D3A5B" w:rsidRDefault="007D3A5B">
    <w:pPr>
      <w:pBdr>
        <w:top w:val="single" w:sz="18" w:space="6" w:color="5EB5AF"/>
      </w:pBdr>
      <w:spacing w:after="120"/>
    </w:pPr>
  </w:p>
  <w:p w14:paraId="152E7742" w14:textId="77777777" w:rsidR="007D3A5B" w:rsidRDefault="00BE67A9">
    <w:pPr>
      <w:spacing w:after="40"/>
    </w:pPr>
    <w:r>
      <w:rPr>
        <w:b/>
        <w:bCs/>
        <w:color w:val="111827"/>
        <w:sz w:val="18"/>
        <w:szCs w:val="18"/>
      </w:rPr>
      <w:t>Asociace soukromých poskytovatelů zdravotních služeb</w:t>
    </w:r>
  </w:p>
  <w:p w14:paraId="32A1DD3E" w14:textId="77777777" w:rsidR="007D3A5B" w:rsidRDefault="00BE67A9">
    <w:r>
      <w:rPr>
        <w:color w:val="4B5563"/>
        <w:sz w:val="18"/>
        <w:szCs w:val="18"/>
      </w:rPr>
      <w:t xml:space="preserve">Web: </w:t>
    </w:r>
    <w:hyperlink r:id="rId1" w:history="1">
      <w:r>
        <w:rPr>
          <w:color w:val="3A8F8A"/>
          <w:sz w:val="18"/>
          <w:szCs w:val="18"/>
          <w:u w:val="single"/>
        </w:rPr>
        <w:t>www.aspzs.cz</w:t>
      </w:r>
    </w:hyperlink>
    <w:r>
      <w:rPr>
        <w:color w:val="4B5563"/>
        <w:sz w:val="18"/>
        <w:szCs w:val="18"/>
      </w:rPr>
      <w:t xml:space="preserve">     |     Kontakt pro média: </w:t>
    </w:r>
    <w:hyperlink r:id="rId2" w:history="1">
      <w:r>
        <w:rPr>
          <w:color w:val="3A8F8A"/>
          <w:sz w:val="18"/>
          <w:szCs w:val="18"/>
          <w:u w:val="single"/>
        </w:rPr>
        <w:t>info@aspzs.cz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B65D" w14:textId="77777777" w:rsidR="00584B0C" w:rsidRDefault="00584B0C">
      <w:r>
        <w:separator/>
      </w:r>
    </w:p>
  </w:footnote>
  <w:footnote w:type="continuationSeparator" w:id="0">
    <w:p w14:paraId="23928A41" w14:textId="77777777" w:rsidR="00584B0C" w:rsidRDefault="0058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52D9" w14:textId="77777777" w:rsidR="007D3A5B" w:rsidRDefault="00BE67A9">
    <w:pPr>
      <w:spacing w:after="160"/>
    </w:pPr>
    <w:r>
      <w:rPr>
        <w:noProof/>
      </w:rPr>
      <w:drawing>
        <wp:inline distT="0" distB="0" distL="0" distR="0" wp14:anchorId="004A1511" wp14:editId="3516F08A">
          <wp:extent cx="2190750" cy="838200"/>
          <wp:effectExtent l="0" t="0" r="0" b="0"/>
          <wp:docPr id="1370660932" name="ASPZS_Logo" descr="Logo ASPZS" title="ASP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E24657" w14:textId="77777777" w:rsidR="007D3A5B" w:rsidRDefault="007D3A5B">
    <w:pPr>
      <w:pBdr>
        <w:bottom w:val="single" w:sz="18" w:space="1" w:color="5EB5AF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4B04"/>
    <w:multiLevelType w:val="hybridMultilevel"/>
    <w:tmpl w:val="1688B7C4"/>
    <w:lvl w:ilvl="0" w:tplc="48E4DD58">
      <w:start w:val="1"/>
      <w:numFmt w:val="bullet"/>
      <w:lvlText w:val="●"/>
      <w:lvlJc w:val="left"/>
      <w:pPr>
        <w:ind w:left="720" w:hanging="360"/>
      </w:pPr>
    </w:lvl>
    <w:lvl w:ilvl="1" w:tplc="0B806F6E">
      <w:start w:val="1"/>
      <w:numFmt w:val="bullet"/>
      <w:lvlText w:val="○"/>
      <w:lvlJc w:val="left"/>
      <w:pPr>
        <w:ind w:left="1440" w:hanging="360"/>
      </w:pPr>
    </w:lvl>
    <w:lvl w:ilvl="2" w:tplc="3C6EB48E">
      <w:start w:val="1"/>
      <w:numFmt w:val="bullet"/>
      <w:lvlText w:val="■"/>
      <w:lvlJc w:val="left"/>
      <w:pPr>
        <w:ind w:left="2160" w:hanging="360"/>
      </w:pPr>
    </w:lvl>
    <w:lvl w:ilvl="3" w:tplc="4BCC39BA">
      <w:start w:val="1"/>
      <w:numFmt w:val="bullet"/>
      <w:lvlText w:val="●"/>
      <w:lvlJc w:val="left"/>
      <w:pPr>
        <w:ind w:left="2880" w:hanging="360"/>
      </w:pPr>
    </w:lvl>
    <w:lvl w:ilvl="4" w:tplc="0E6A6C3A">
      <w:start w:val="1"/>
      <w:numFmt w:val="bullet"/>
      <w:lvlText w:val="○"/>
      <w:lvlJc w:val="left"/>
      <w:pPr>
        <w:ind w:left="3600" w:hanging="360"/>
      </w:pPr>
    </w:lvl>
    <w:lvl w:ilvl="5" w:tplc="5C6C298C">
      <w:start w:val="1"/>
      <w:numFmt w:val="bullet"/>
      <w:lvlText w:val="■"/>
      <w:lvlJc w:val="left"/>
      <w:pPr>
        <w:ind w:left="4320" w:hanging="360"/>
      </w:pPr>
    </w:lvl>
    <w:lvl w:ilvl="6" w:tplc="5BC070DC">
      <w:start w:val="1"/>
      <w:numFmt w:val="bullet"/>
      <w:lvlText w:val="●"/>
      <w:lvlJc w:val="left"/>
      <w:pPr>
        <w:ind w:left="5040" w:hanging="360"/>
      </w:pPr>
    </w:lvl>
    <w:lvl w:ilvl="7" w:tplc="347A903C">
      <w:start w:val="1"/>
      <w:numFmt w:val="bullet"/>
      <w:lvlText w:val="●"/>
      <w:lvlJc w:val="left"/>
      <w:pPr>
        <w:ind w:left="5760" w:hanging="360"/>
      </w:pPr>
    </w:lvl>
    <w:lvl w:ilvl="8" w:tplc="B164E736">
      <w:start w:val="1"/>
      <w:numFmt w:val="bullet"/>
      <w:lvlText w:val="●"/>
      <w:lvlJc w:val="left"/>
      <w:pPr>
        <w:ind w:left="6480" w:hanging="360"/>
      </w:pPr>
    </w:lvl>
  </w:abstractNum>
  <w:num w:numId="1" w16cid:durableId="1886880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5B"/>
    <w:rsid w:val="003B0818"/>
    <w:rsid w:val="00475DB0"/>
    <w:rsid w:val="00584B0C"/>
    <w:rsid w:val="007906FE"/>
    <w:rsid w:val="007D3A5B"/>
    <w:rsid w:val="009078C9"/>
    <w:rsid w:val="00BE67A9"/>
    <w:rsid w:val="00E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EFA34"/>
  <w15:docId w15:val="{485E47E8-E755-4100-83E4-6D912594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F2937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B08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818"/>
  </w:style>
  <w:style w:type="paragraph" w:styleId="Zpat">
    <w:name w:val="footer"/>
    <w:basedOn w:val="Normln"/>
    <w:link w:val="ZpatChar"/>
    <w:uiPriority w:val="99"/>
    <w:unhideWhenUsed/>
    <w:rsid w:val="003B08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spz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spzs.cz" TargetMode="External"/><Relationship Id="rId1" Type="http://schemas.openxmlformats.org/officeDocument/2006/relationships/hyperlink" Target="https://www.aspz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 ASPZS</dc:title>
  <dc:creator>ASPZS</dc:creator>
  <cp:lastModifiedBy>Bruoth Martin</cp:lastModifiedBy>
  <cp:revision>2</cp:revision>
  <dcterms:created xsi:type="dcterms:W3CDTF">2026-04-22T11:13:00Z</dcterms:created>
  <dcterms:modified xsi:type="dcterms:W3CDTF">2026-04-22T11:13:00Z</dcterms:modified>
</cp:coreProperties>
</file>