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6AB3F" w14:textId="77777777" w:rsidR="00594898" w:rsidRDefault="00594898" w:rsidP="004946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val="en-US" w:eastAsia="es-MX"/>
          <w14:ligatures w14:val="none"/>
        </w:rPr>
      </w:pPr>
      <w:r w:rsidRPr="00594898">
        <w:rPr>
          <w:rFonts w:ascii="Times New Roman" w:eastAsia="Times New Roman" w:hAnsi="Times New Roman" w:cs="Times New Roman"/>
          <w:b/>
          <w:bCs/>
          <w:kern w:val="36"/>
          <w:lang w:val="en-US" w:eastAsia="es-MX"/>
          <w14:ligatures w14:val="none"/>
        </w:rPr>
        <w:t>Publication Outline (Assignment 1 – EDLD 5317)</w:t>
      </w:r>
    </w:p>
    <w:p w14:paraId="1DD9ECF9" w14:textId="3F683F46" w:rsidR="0049467E" w:rsidRPr="00594898" w:rsidRDefault="0049467E" w:rsidP="004946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val="en-US" w:eastAsia="es-MX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lang w:val="en-US" w:eastAsia="es-MX"/>
          <w14:ligatures w14:val="none"/>
        </w:rPr>
        <w:t>Paula A Correa</w:t>
      </w:r>
    </w:p>
    <w:p w14:paraId="54CBF854" w14:textId="77777777" w:rsidR="00594898" w:rsidRPr="00594898" w:rsidRDefault="00594898" w:rsidP="005948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lang w:val="en-US" w:eastAsia="es-MX"/>
          <w14:ligatures w14:val="none"/>
        </w:rPr>
      </w:pPr>
      <w:r w:rsidRPr="00594898">
        <w:rPr>
          <w:rFonts w:ascii="Times New Roman" w:eastAsia="Times New Roman" w:hAnsi="Times New Roman" w:cs="Times New Roman"/>
          <w:b/>
          <w:bCs/>
          <w:i/>
          <w:iCs/>
          <w:kern w:val="0"/>
          <w:lang w:val="en-US" w:eastAsia="es-MX"/>
          <w14:ligatures w14:val="none"/>
        </w:rPr>
        <w:t>What is the topic of your article?</w:t>
      </w:r>
    </w:p>
    <w:p w14:paraId="400CBCD9" w14:textId="6317EA8D" w:rsidR="003D024A" w:rsidRPr="0049467E" w:rsidRDefault="0049467E" w:rsidP="0049467E">
      <w:pPr>
        <w:pStyle w:val="NormalWeb"/>
        <w:ind w:firstLine="708"/>
        <w:rPr>
          <w:lang w:val="en-US"/>
        </w:rPr>
      </w:pPr>
      <w:r w:rsidRPr="0049467E">
        <w:rPr>
          <w:lang w:val="en-US"/>
        </w:rPr>
        <w:t xml:space="preserve">Literacy achievement gaps among bilingual elementary students </w:t>
      </w:r>
      <w:r w:rsidRPr="0049467E">
        <w:rPr>
          <w:lang w:val="en-US"/>
        </w:rPr>
        <w:t>continue to be</w:t>
      </w:r>
      <w:r w:rsidRPr="0049467E">
        <w:rPr>
          <w:lang w:val="en-US"/>
        </w:rPr>
        <w:t xml:space="preserve"> a critical challenge. This article addresses that gap by exploring the implementation of a hybrid learning model in second-grade classrooms.</w:t>
      </w:r>
      <w:r w:rsidRPr="0049467E">
        <w:rPr>
          <w:lang w:val="en-US"/>
        </w:rPr>
        <w:t xml:space="preserve"> </w:t>
      </w:r>
      <w:r w:rsidR="003D024A" w:rsidRPr="0049467E">
        <w:rPr>
          <w:lang w:val="en-US"/>
        </w:rPr>
        <w:t xml:space="preserve">This model combines </w:t>
      </w:r>
      <w:r w:rsidR="003D024A" w:rsidRPr="0049467E">
        <w:rPr>
          <w:rStyle w:val="Textoennegrita"/>
          <w:rFonts w:eastAsiaTheme="majorEastAsia"/>
          <w:b w:val="0"/>
          <w:bCs w:val="0"/>
          <w:lang w:val="en-US"/>
        </w:rPr>
        <w:t>station rotation</w:t>
      </w:r>
      <w:r w:rsidR="003D024A" w:rsidRPr="0049467E">
        <w:rPr>
          <w:lang w:val="en-US"/>
        </w:rPr>
        <w:t xml:space="preserve">, the use of </w:t>
      </w:r>
      <w:r w:rsidR="003D024A" w:rsidRPr="0049467E">
        <w:rPr>
          <w:rStyle w:val="Textoennegrita"/>
          <w:rFonts w:eastAsiaTheme="majorEastAsia"/>
          <w:b w:val="0"/>
          <w:bCs w:val="0"/>
          <w:lang w:val="en-US"/>
        </w:rPr>
        <w:t>adaptive digital platforms</w:t>
      </w:r>
      <w:r w:rsidR="003D024A" w:rsidRPr="0049467E">
        <w:rPr>
          <w:lang w:val="en-US"/>
        </w:rPr>
        <w:t xml:space="preserve">, and </w:t>
      </w:r>
      <w:r w:rsidR="003D024A" w:rsidRPr="0049467E">
        <w:rPr>
          <w:rStyle w:val="Textoennegrita"/>
          <w:rFonts w:eastAsiaTheme="majorEastAsia"/>
          <w:b w:val="0"/>
          <w:bCs w:val="0"/>
          <w:lang w:val="en-US"/>
        </w:rPr>
        <w:t>gamification strategies</w:t>
      </w:r>
      <w:r w:rsidR="003D024A" w:rsidRPr="0049467E">
        <w:rPr>
          <w:lang w:val="en-US"/>
        </w:rPr>
        <w:t xml:space="preserve"> to strengthen students’ motivation, engagement, and academic performance.</w:t>
      </w:r>
    </w:p>
    <w:p w14:paraId="3E9C5DC8" w14:textId="2D619585" w:rsidR="000E5F16" w:rsidRPr="0049467E" w:rsidRDefault="003D024A" w:rsidP="003202C1">
      <w:pPr>
        <w:pStyle w:val="NormalWeb"/>
        <w:ind w:firstLine="708"/>
        <w:rPr>
          <w:lang w:val="en-US"/>
        </w:rPr>
      </w:pPr>
      <w:r w:rsidRPr="0049467E">
        <w:rPr>
          <w:lang w:val="en-US"/>
        </w:rPr>
        <w:t>The proposal addresses a recurring challenge in bilingual contexts: how to engage students actively and consistently in literacy processes. Through the intentional integration of digital resources and face-to-face activities, th</w:t>
      </w:r>
      <w:r w:rsidRPr="0049467E">
        <w:rPr>
          <w:lang w:val="en-US"/>
        </w:rPr>
        <w:t>is</w:t>
      </w:r>
      <w:r w:rsidRPr="0049467E">
        <w:rPr>
          <w:lang w:val="en-US"/>
        </w:rPr>
        <w:t xml:space="preserve"> article </w:t>
      </w:r>
      <w:r w:rsidRPr="0049467E">
        <w:rPr>
          <w:lang w:val="en-US"/>
        </w:rPr>
        <w:t>demonstrates</w:t>
      </w:r>
      <w:r w:rsidRPr="0049467E">
        <w:rPr>
          <w:lang w:val="en-US"/>
        </w:rPr>
        <w:t xml:space="preserve"> how hybrid learning can become a </w:t>
      </w:r>
      <w:r w:rsidRPr="0049467E">
        <w:rPr>
          <w:rStyle w:val="Textoennegrita"/>
          <w:rFonts w:eastAsiaTheme="majorEastAsia"/>
          <w:b w:val="0"/>
          <w:bCs w:val="0"/>
          <w:lang w:val="en-US"/>
        </w:rPr>
        <w:t>transformative, inclusive, and motivating strategy</w:t>
      </w:r>
      <w:r w:rsidRPr="0049467E">
        <w:rPr>
          <w:lang w:val="en-US"/>
        </w:rPr>
        <w:t xml:space="preserve">, capable of </w:t>
      </w:r>
      <w:r w:rsidRPr="0049467E">
        <w:rPr>
          <w:lang w:val="en-US"/>
        </w:rPr>
        <w:t>enhanc</w:t>
      </w:r>
      <w:r w:rsidRPr="0049467E">
        <w:rPr>
          <w:lang w:val="en-US"/>
        </w:rPr>
        <w:t>ing reading comprehension, writing production, and children’s confidence as readers and writers (Hughes &amp; Roblyer, 2022).</w:t>
      </w:r>
    </w:p>
    <w:p w14:paraId="26A3C9C1" w14:textId="77777777" w:rsidR="00BD5970" w:rsidRPr="00BD5970" w:rsidRDefault="00BD5970" w:rsidP="00BD59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lang w:val="en-US" w:eastAsia="es-MX"/>
          <w14:ligatures w14:val="none"/>
        </w:rPr>
      </w:pPr>
      <w:r w:rsidRPr="00BD5970">
        <w:rPr>
          <w:rFonts w:ascii="Times New Roman" w:eastAsia="Times New Roman" w:hAnsi="Times New Roman" w:cs="Times New Roman"/>
          <w:b/>
          <w:bCs/>
          <w:i/>
          <w:iCs/>
          <w:kern w:val="0"/>
          <w:lang w:val="en-US" w:eastAsia="es-MX"/>
          <w14:ligatures w14:val="none"/>
        </w:rPr>
        <w:t>Where do you plan to submit?</w:t>
      </w:r>
    </w:p>
    <w:p w14:paraId="747FBA2A" w14:textId="77777777" w:rsidR="00BD5970" w:rsidRPr="00BD5970" w:rsidRDefault="00BD5970" w:rsidP="00BD5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BD5970">
        <w:rPr>
          <w:rFonts w:ascii="Times New Roman" w:eastAsia="Times New Roman" w:hAnsi="Times New Roman" w:cs="Times New Roman"/>
          <w:kern w:val="0"/>
          <w:lang w:val="en-US" w:eastAsia="es-MX"/>
          <w14:ligatures w14:val="none"/>
        </w:rPr>
        <w:t xml:space="preserve">To ensure that the findings reach diverse audiences, I plan to submit my article to journals and platforms that value educational innovation, bilingual literacy, and the use of digital resources in teaching. </w:t>
      </w:r>
      <w:proofErr w:type="spellStart"/>
      <w:r w:rsidRPr="00BD5970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The</w:t>
      </w:r>
      <w:proofErr w:type="spellEnd"/>
      <w:r w:rsidRPr="00BD5970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</w:t>
      </w:r>
      <w:proofErr w:type="spellStart"/>
      <w:r w:rsidRPr="00BD5970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following</w:t>
      </w:r>
      <w:proofErr w:type="spellEnd"/>
      <w:r w:rsidRPr="00BD5970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</w:t>
      </w:r>
      <w:proofErr w:type="spellStart"/>
      <w:r w:rsidRPr="00BD5970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venues</w:t>
      </w:r>
      <w:proofErr w:type="spellEnd"/>
      <w:r w:rsidRPr="00BD5970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are </w:t>
      </w:r>
      <w:proofErr w:type="spellStart"/>
      <w:r w:rsidRPr="00BD5970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being</w:t>
      </w:r>
      <w:proofErr w:type="spellEnd"/>
      <w:r w:rsidRPr="00BD5970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</w:t>
      </w:r>
      <w:proofErr w:type="spellStart"/>
      <w:r w:rsidRPr="00BD5970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considered</w:t>
      </w:r>
      <w:proofErr w:type="spellEnd"/>
      <w:r w:rsidRPr="00BD5970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:</w:t>
      </w:r>
    </w:p>
    <w:tbl>
      <w:tblPr>
        <w:tblStyle w:val="Tablaconcuadrcula1clara-nfasis1"/>
        <w:tblW w:w="0" w:type="auto"/>
        <w:tblLook w:val="04A0" w:firstRow="1" w:lastRow="0" w:firstColumn="1" w:lastColumn="0" w:noHBand="0" w:noVBand="1"/>
      </w:tblPr>
      <w:tblGrid>
        <w:gridCol w:w="2665"/>
        <w:gridCol w:w="2054"/>
        <w:gridCol w:w="2054"/>
        <w:gridCol w:w="2055"/>
      </w:tblGrid>
      <w:tr w:rsidR="003202C1" w:rsidRPr="003202C1" w14:paraId="496A0B4C" w14:textId="77777777" w:rsidTr="00741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215E99" w:themeFill="text2" w:themeFillTint="BF"/>
          </w:tcPr>
          <w:p w14:paraId="5C139740" w14:textId="77777777" w:rsidR="00741CC7" w:rsidRPr="003202C1" w:rsidRDefault="00741CC7" w:rsidP="00BD5970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lang w:eastAsia="es-MX"/>
                <w14:ligatures w14:val="none"/>
              </w:rPr>
            </w:pPr>
          </w:p>
        </w:tc>
        <w:tc>
          <w:tcPr>
            <w:tcW w:w="2340" w:type="dxa"/>
            <w:shd w:val="clear" w:color="auto" w:fill="215E99" w:themeFill="text2" w:themeFillTint="BF"/>
            <w:hideMark/>
          </w:tcPr>
          <w:p w14:paraId="6CB2550F" w14:textId="587A04B6" w:rsidR="00741CC7" w:rsidRPr="00BD5970" w:rsidRDefault="00741CC7" w:rsidP="00BD59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FFFFFF" w:themeColor="background1"/>
                <w:kern w:val="0"/>
                <w:lang w:eastAsia="es-MX"/>
                <w14:ligatures w14:val="none"/>
              </w:rPr>
            </w:pPr>
            <w:proofErr w:type="spellStart"/>
            <w:r w:rsidRPr="00BD5970">
              <w:rPr>
                <w:rFonts w:ascii="Times New Roman" w:eastAsia="Times New Roman" w:hAnsi="Times New Roman" w:cs="Times New Roman"/>
                <w:b w:val="0"/>
                <w:bCs w:val="0"/>
                <w:color w:val="FFFFFF" w:themeColor="background1"/>
                <w:kern w:val="0"/>
                <w:lang w:eastAsia="es-MX"/>
                <w14:ligatures w14:val="none"/>
              </w:rPr>
              <w:t>Journal</w:t>
            </w:r>
            <w:proofErr w:type="spellEnd"/>
          </w:p>
        </w:tc>
        <w:tc>
          <w:tcPr>
            <w:tcW w:w="2340" w:type="dxa"/>
            <w:shd w:val="clear" w:color="auto" w:fill="215E99" w:themeFill="text2" w:themeFillTint="BF"/>
            <w:hideMark/>
          </w:tcPr>
          <w:p w14:paraId="1076248D" w14:textId="77777777" w:rsidR="00741CC7" w:rsidRPr="00BD5970" w:rsidRDefault="00741CC7" w:rsidP="00BD59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FFFFFF" w:themeColor="background1"/>
                <w:kern w:val="0"/>
                <w:lang w:eastAsia="es-MX"/>
                <w14:ligatures w14:val="none"/>
              </w:rPr>
            </w:pPr>
            <w:r w:rsidRPr="00BD5970">
              <w:rPr>
                <w:rFonts w:ascii="Times New Roman" w:eastAsia="Times New Roman" w:hAnsi="Times New Roman" w:cs="Times New Roman"/>
                <w:b w:val="0"/>
                <w:bCs w:val="0"/>
                <w:color w:val="FFFFFF" w:themeColor="background1"/>
                <w:kern w:val="0"/>
                <w:lang w:eastAsia="es-MX"/>
                <w14:ligatures w14:val="none"/>
              </w:rPr>
              <w:t>Focus</w:t>
            </w:r>
          </w:p>
        </w:tc>
        <w:tc>
          <w:tcPr>
            <w:tcW w:w="2353" w:type="dxa"/>
            <w:shd w:val="clear" w:color="auto" w:fill="215E99" w:themeFill="text2" w:themeFillTint="BF"/>
            <w:hideMark/>
          </w:tcPr>
          <w:p w14:paraId="1F64F1B1" w14:textId="77777777" w:rsidR="00741CC7" w:rsidRPr="00BD5970" w:rsidRDefault="00741CC7" w:rsidP="00BD59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FFFFFF" w:themeColor="background1"/>
                <w:kern w:val="0"/>
                <w:lang w:eastAsia="es-MX"/>
                <w14:ligatures w14:val="none"/>
              </w:rPr>
            </w:pPr>
            <w:proofErr w:type="spellStart"/>
            <w:r w:rsidRPr="00BD5970">
              <w:rPr>
                <w:rFonts w:ascii="Times New Roman" w:eastAsia="Times New Roman" w:hAnsi="Times New Roman" w:cs="Times New Roman"/>
                <w:b w:val="0"/>
                <w:bCs w:val="0"/>
                <w:color w:val="FFFFFF" w:themeColor="background1"/>
                <w:kern w:val="0"/>
                <w:lang w:eastAsia="es-MX"/>
                <w14:ligatures w14:val="none"/>
              </w:rPr>
              <w:t>Recognition</w:t>
            </w:r>
            <w:proofErr w:type="spellEnd"/>
          </w:p>
        </w:tc>
      </w:tr>
      <w:tr w:rsidR="003202C1" w:rsidRPr="003202C1" w14:paraId="4B80673B" w14:textId="77777777" w:rsidTr="00741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654CC6D" w14:textId="2FC20ED5" w:rsidR="00741CC7" w:rsidRPr="003202C1" w:rsidRDefault="003202C1" w:rsidP="00BD5970">
            <w:pPr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en-US" w:eastAsia="es-MX"/>
                <w14:ligatures w14:val="none"/>
              </w:rPr>
            </w:pPr>
            <w:r w:rsidRPr="003202C1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en-US" w:eastAsia="es-MX"/>
              </w:rPr>
              <w:drawing>
                <wp:anchor distT="0" distB="0" distL="114300" distR="114300" simplePos="0" relativeHeight="251659264" behindDoc="0" locked="0" layoutInCell="1" allowOverlap="1" wp14:anchorId="42BFCC3C" wp14:editId="0F395275">
                  <wp:simplePos x="0" y="0"/>
                  <wp:positionH relativeFrom="column">
                    <wp:posOffset>169856</wp:posOffset>
                  </wp:positionH>
                  <wp:positionV relativeFrom="paragraph">
                    <wp:posOffset>153734</wp:posOffset>
                  </wp:positionV>
                  <wp:extent cx="1110343" cy="365601"/>
                  <wp:effectExtent l="0" t="0" r="0" b="3175"/>
                  <wp:wrapThrough wrapText="bothSides">
                    <wp:wrapPolygon edited="0">
                      <wp:start x="0" y="0"/>
                      <wp:lineTo x="0" y="21037"/>
                      <wp:lineTo x="21254" y="21037"/>
                      <wp:lineTo x="21254" y="0"/>
                      <wp:lineTo x="0" y="0"/>
                    </wp:wrapPolygon>
                  </wp:wrapThrough>
                  <wp:docPr id="164931331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313310" name="Imagen 1649313310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343" cy="365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0" w:type="dxa"/>
            <w:hideMark/>
          </w:tcPr>
          <w:p w14:paraId="04403782" w14:textId="769E69FB" w:rsidR="00741CC7" w:rsidRPr="00BD5970" w:rsidRDefault="00741CC7" w:rsidP="00BD5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en-US" w:eastAsia="es-MX"/>
                <w14:ligatures w14:val="none"/>
              </w:rPr>
            </w:pPr>
            <w:r w:rsidRPr="00BD5970"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en-US" w:eastAsia="es-MX"/>
                <w14:ligatures w14:val="none"/>
              </w:rPr>
              <w:t>Educational Technology &amp; Society (ET&amp;S)</w:t>
            </w:r>
          </w:p>
        </w:tc>
        <w:tc>
          <w:tcPr>
            <w:tcW w:w="2340" w:type="dxa"/>
            <w:hideMark/>
          </w:tcPr>
          <w:p w14:paraId="2E9E21FC" w14:textId="77777777" w:rsidR="00741CC7" w:rsidRPr="00BD5970" w:rsidRDefault="00741CC7" w:rsidP="00BD5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eastAsia="es-MX"/>
                <w14:ligatures w14:val="none"/>
              </w:rPr>
            </w:pPr>
            <w:proofErr w:type="spellStart"/>
            <w:r w:rsidRPr="00BD5970"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eastAsia="es-MX"/>
                <w14:ligatures w14:val="none"/>
              </w:rPr>
              <w:t>Educational</w:t>
            </w:r>
            <w:proofErr w:type="spellEnd"/>
            <w:r w:rsidRPr="00BD5970"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BD5970"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eastAsia="es-MX"/>
                <w14:ligatures w14:val="none"/>
              </w:rPr>
              <w:t>technology</w:t>
            </w:r>
            <w:proofErr w:type="spellEnd"/>
            <w:r w:rsidRPr="00BD5970"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eastAsia="es-MX"/>
                <w14:ligatures w14:val="none"/>
              </w:rPr>
              <w:t xml:space="preserve"> and </w:t>
            </w:r>
            <w:proofErr w:type="spellStart"/>
            <w:r w:rsidRPr="00BD5970"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eastAsia="es-MX"/>
                <w14:ligatures w14:val="none"/>
              </w:rPr>
              <w:t>innovation</w:t>
            </w:r>
            <w:proofErr w:type="spellEnd"/>
          </w:p>
        </w:tc>
        <w:tc>
          <w:tcPr>
            <w:tcW w:w="2353" w:type="dxa"/>
            <w:hideMark/>
          </w:tcPr>
          <w:p w14:paraId="038A9D63" w14:textId="77777777" w:rsidR="00741CC7" w:rsidRPr="00BD5970" w:rsidRDefault="00741CC7" w:rsidP="00BD5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en-US" w:eastAsia="es-MX"/>
                <w14:ligatures w14:val="none"/>
              </w:rPr>
            </w:pPr>
            <w:r w:rsidRPr="00BD5970"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en-US" w:eastAsia="es-MX"/>
                <w14:ligatures w14:val="none"/>
              </w:rPr>
              <w:t xml:space="preserve">Highly recognized, indexed in Scopus &amp; </w:t>
            </w:r>
            <w:proofErr w:type="spellStart"/>
            <w:r w:rsidRPr="00BD5970"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en-US" w:eastAsia="es-MX"/>
                <w14:ligatures w14:val="none"/>
              </w:rPr>
              <w:t>WoS</w:t>
            </w:r>
            <w:proofErr w:type="spellEnd"/>
          </w:p>
        </w:tc>
      </w:tr>
      <w:tr w:rsidR="003202C1" w:rsidRPr="003202C1" w14:paraId="378740D2" w14:textId="77777777" w:rsidTr="00741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419F90D3" w14:textId="002CDB6A" w:rsidR="00741CC7" w:rsidRPr="003202C1" w:rsidRDefault="003202C1" w:rsidP="003202C1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eastAsia="es-MX"/>
                <w14:ligatures w14:val="none"/>
              </w:rPr>
            </w:pPr>
            <w:r w:rsidRPr="003202C1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53EA134D" wp14:editId="74878D01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130629</wp:posOffset>
                  </wp:positionV>
                  <wp:extent cx="606490" cy="623818"/>
                  <wp:effectExtent l="0" t="0" r="3175" b="0"/>
                  <wp:wrapThrough wrapText="bothSides">
                    <wp:wrapPolygon edited="0">
                      <wp:start x="0" y="0"/>
                      <wp:lineTo x="0" y="21116"/>
                      <wp:lineTo x="21261" y="21116"/>
                      <wp:lineTo x="21261" y="0"/>
                      <wp:lineTo x="0" y="0"/>
                    </wp:wrapPolygon>
                  </wp:wrapThrough>
                  <wp:docPr id="1319312456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312456" name="Imagen 131931245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490" cy="623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0" w:type="dxa"/>
            <w:hideMark/>
          </w:tcPr>
          <w:p w14:paraId="18051FB9" w14:textId="6E335061" w:rsidR="00741CC7" w:rsidRPr="00BD5970" w:rsidRDefault="00741CC7" w:rsidP="00BD5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eastAsia="es-MX"/>
                <w14:ligatures w14:val="none"/>
              </w:rPr>
            </w:pPr>
            <w:proofErr w:type="spellStart"/>
            <w:r w:rsidRPr="00BD5970"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eastAsia="es-MX"/>
                <w14:ligatures w14:val="none"/>
              </w:rPr>
              <w:t>Language</w:t>
            </w:r>
            <w:proofErr w:type="spellEnd"/>
            <w:r w:rsidRPr="00BD5970"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BD5970"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eastAsia="es-MX"/>
                <w14:ligatures w14:val="none"/>
              </w:rPr>
              <w:t>Learning</w:t>
            </w:r>
            <w:proofErr w:type="spellEnd"/>
            <w:r w:rsidRPr="00BD5970"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eastAsia="es-MX"/>
                <w14:ligatures w14:val="none"/>
              </w:rPr>
              <w:t xml:space="preserve"> &amp; Technology (LLT)</w:t>
            </w:r>
          </w:p>
        </w:tc>
        <w:tc>
          <w:tcPr>
            <w:tcW w:w="2340" w:type="dxa"/>
            <w:hideMark/>
          </w:tcPr>
          <w:p w14:paraId="179EB528" w14:textId="77777777" w:rsidR="00741CC7" w:rsidRPr="00BD5970" w:rsidRDefault="00741CC7" w:rsidP="00BD5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en-US" w:eastAsia="es-MX"/>
                <w14:ligatures w14:val="none"/>
              </w:rPr>
            </w:pPr>
            <w:r w:rsidRPr="00BD5970"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en-US" w:eastAsia="es-MX"/>
                <w14:ligatures w14:val="none"/>
              </w:rPr>
              <w:t>Technology applied to language learning and bilingual literacy</w:t>
            </w:r>
          </w:p>
        </w:tc>
        <w:tc>
          <w:tcPr>
            <w:tcW w:w="2353" w:type="dxa"/>
            <w:hideMark/>
          </w:tcPr>
          <w:p w14:paraId="3E9874CE" w14:textId="77777777" w:rsidR="00741CC7" w:rsidRPr="00BD5970" w:rsidRDefault="00741CC7" w:rsidP="00BD5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en-US" w:eastAsia="es-MX"/>
                <w14:ligatures w14:val="none"/>
              </w:rPr>
            </w:pPr>
            <w:r w:rsidRPr="00BD5970"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en-US" w:eastAsia="es-MX"/>
                <w14:ligatures w14:val="none"/>
              </w:rPr>
              <w:t>Prestigious, widely cited, indexed in Scopus</w:t>
            </w:r>
          </w:p>
        </w:tc>
      </w:tr>
      <w:tr w:rsidR="003202C1" w:rsidRPr="003202C1" w14:paraId="6B084817" w14:textId="77777777" w:rsidTr="00741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719E22B" w14:textId="6795C3BC" w:rsidR="00741CC7" w:rsidRPr="003202C1" w:rsidRDefault="003202C1" w:rsidP="00BD5970">
            <w:pPr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en-US" w:eastAsia="es-MX"/>
                <w14:ligatures w14:val="none"/>
              </w:rPr>
            </w:pPr>
            <w:r w:rsidRPr="003202C1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en-US" w:eastAsia="es-MX"/>
              </w:rPr>
              <w:drawing>
                <wp:anchor distT="0" distB="0" distL="114300" distR="114300" simplePos="0" relativeHeight="251658240" behindDoc="0" locked="0" layoutInCell="1" allowOverlap="1" wp14:anchorId="7782E2D4" wp14:editId="6814798A">
                  <wp:simplePos x="0" y="0"/>
                  <wp:positionH relativeFrom="column">
                    <wp:posOffset>-2582</wp:posOffset>
                  </wp:positionH>
                  <wp:positionV relativeFrom="paragraph">
                    <wp:posOffset>242596</wp:posOffset>
                  </wp:positionV>
                  <wp:extent cx="1554480" cy="305041"/>
                  <wp:effectExtent l="0" t="0" r="0" b="0"/>
                  <wp:wrapTopAndBottom/>
                  <wp:docPr id="195910363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103636" name="Imagen 195910363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305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0" w:type="dxa"/>
            <w:hideMark/>
          </w:tcPr>
          <w:p w14:paraId="5ACE8F94" w14:textId="2183C499" w:rsidR="00741CC7" w:rsidRPr="00BD5970" w:rsidRDefault="00741CC7" w:rsidP="00BD5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en-US" w:eastAsia="es-MX"/>
                <w14:ligatures w14:val="none"/>
              </w:rPr>
            </w:pPr>
            <w:r w:rsidRPr="00BD5970"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en-US" w:eastAsia="es-MX"/>
                <w14:ligatures w14:val="none"/>
              </w:rPr>
              <w:t>Australasian Journal of Educational Technology (AJET)</w:t>
            </w:r>
          </w:p>
        </w:tc>
        <w:tc>
          <w:tcPr>
            <w:tcW w:w="2340" w:type="dxa"/>
            <w:hideMark/>
          </w:tcPr>
          <w:p w14:paraId="4167120F" w14:textId="77777777" w:rsidR="00741CC7" w:rsidRPr="00BD5970" w:rsidRDefault="00741CC7" w:rsidP="00BD5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en-US" w:eastAsia="es-MX"/>
                <w14:ligatures w14:val="none"/>
              </w:rPr>
            </w:pPr>
            <w:r w:rsidRPr="00BD5970"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en-US" w:eastAsia="es-MX"/>
                <w14:ligatures w14:val="none"/>
              </w:rPr>
              <w:t>Digital innovation, e-learning, instructional design</w:t>
            </w:r>
          </w:p>
        </w:tc>
        <w:tc>
          <w:tcPr>
            <w:tcW w:w="2353" w:type="dxa"/>
            <w:hideMark/>
          </w:tcPr>
          <w:p w14:paraId="2A2C9581" w14:textId="77777777" w:rsidR="00741CC7" w:rsidRPr="00BD5970" w:rsidRDefault="00741CC7" w:rsidP="00BD5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en-US" w:eastAsia="es-MX"/>
                <w14:ligatures w14:val="none"/>
              </w:rPr>
            </w:pPr>
            <w:r w:rsidRPr="00BD5970"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en-US" w:eastAsia="es-MX"/>
                <w14:ligatures w14:val="none"/>
              </w:rPr>
              <w:t>Strong academic reputation, open access</w:t>
            </w:r>
          </w:p>
        </w:tc>
      </w:tr>
      <w:tr w:rsidR="003202C1" w:rsidRPr="003202C1" w14:paraId="7DEA3B28" w14:textId="77777777" w:rsidTr="00741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A778298" w14:textId="15599897" w:rsidR="00741CC7" w:rsidRPr="003202C1" w:rsidRDefault="003202C1" w:rsidP="00BD5970">
            <w:pPr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en-US" w:eastAsia="es-MX"/>
                <w14:ligatures w14:val="none"/>
              </w:rPr>
            </w:pPr>
            <w:r w:rsidRPr="003202C1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en-US" w:eastAsia="es-MX"/>
              </w:rPr>
              <w:drawing>
                <wp:anchor distT="0" distB="0" distL="114300" distR="114300" simplePos="0" relativeHeight="251661312" behindDoc="1" locked="0" layoutInCell="1" allowOverlap="1" wp14:anchorId="293FA19D" wp14:editId="10675AD6">
                  <wp:simplePos x="0" y="0"/>
                  <wp:positionH relativeFrom="column">
                    <wp:posOffset>481382</wp:posOffset>
                  </wp:positionH>
                  <wp:positionV relativeFrom="paragraph">
                    <wp:posOffset>56994</wp:posOffset>
                  </wp:positionV>
                  <wp:extent cx="626490" cy="546642"/>
                  <wp:effectExtent l="0" t="0" r="0" b="0"/>
                  <wp:wrapNone/>
                  <wp:docPr id="73739199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391991" name="Imagen 73739199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490" cy="546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0" w:type="dxa"/>
            <w:hideMark/>
          </w:tcPr>
          <w:p w14:paraId="55DB9B08" w14:textId="48A9F061" w:rsidR="00741CC7" w:rsidRPr="00BD5970" w:rsidRDefault="00741CC7" w:rsidP="00BD5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en-US" w:eastAsia="es-MX"/>
                <w14:ligatures w14:val="none"/>
              </w:rPr>
            </w:pPr>
            <w:r w:rsidRPr="00BD5970"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en-US" w:eastAsia="es-MX"/>
                <w14:ligatures w14:val="none"/>
              </w:rPr>
              <w:t>Journal of Bilingual Education Research &amp; Instruction (JBERI)</w:t>
            </w:r>
          </w:p>
        </w:tc>
        <w:tc>
          <w:tcPr>
            <w:tcW w:w="2340" w:type="dxa"/>
            <w:hideMark/>
          </w:tcPr>
          <w:p w14:paraId="64D77239" w14:textId="77777777" w:rsidR="00741CC7" w:rsidRPr="00BD5970" w:rsidRDefault="00741CC7" w:rsidP="00BD5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en-US" w:eastAsia="es-MX"/>
                <w14:ligatures w14:val="none"/>
              </w:rPr>
            </w:pPr>
            <w:r w:rsidRPr="00BD5970"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en-US" w:eastAsia="es-MX"/>
                <w14:ligatures w14:val="none"/>
              </w:rPr>
              <w:t>Bilingual and dual-language education</w:t>
            </w:r>
          </w:p>
        </w:tc>
        <w:tc>
          <w:tcPr>
            <w:tcW w:w="2353" w:type="dxa"/>
            <w:hideMark/>
          </w:tcPr>
          <w:p w14:paraId="3845D943" w14:textId="77777777" w:rsidR="00741CC7" w:rsidRPr="00BD5970" w:rsidRDefault="00741CC7" w:rsidP="00BD5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en-US" w:eastAsia="es-MX"/>
                <w14:ligatures w14:val="none"/>
              </w:rPr>
            </w:pPr>
            <w:r w:rsidRPr="00BD5970"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en-US" w:eastAsia="es-MX"/>
                <w14:ligatures w14:val="none"/>
              </w:rPr>
              <w:t>Recognized by Texas Association for Bilingual Education (TABE)</w:t>
            </w:r>
          </w:p>
        </w:tc>
      </w:tr>
    </w:tbl>
    <w:p w14:paraId="6FA18D06" w14:textId="567DADDC" w:rsidR="00BD5970" w:rsidRPr="00BD5970" w:rsidRDefault="00BD5970" w:rsidP="00BD5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s-MX"/>
          <w14:ligatures w14:val="none"/>
        </w:rPr>
      </w:pPr>
      <w:r w:rsidRPr="00BD5970">
        <w:rPr>
          <w:rFonts w:ascii="Times New Roman" w:eastAsia="Times New Roman" w:hAnsi="Times New Roman" w:cs="Times New Roman"/>
          <w:kern w:val="0"/>
          <w:lang w:val="en-US" w:eastAsia="es-MX"/>
          <w14:ligatures w14:val="none"/>
        </w:rPr>
        <w:lastRenderedPageBreak/>
        <w:t xml:space="preserve">By targeting both academic journals and practitioner-focused platforms, my article will reach a broad spectrum of readers, </w:t>
      </w:r>
      <w:r w:rsidRPr="003202C1">
        <w:rPr>
          <w:rFonts w:ascii="Times New Roman" w:eastAsia="Times New Roman" w:hAnsi="Times New Roman" w:cs="Times New Roman"/>
          <w:kern w:val="0"/>
          <w:lang w:val="en-US" w:eastAsia="es-MX"/>
          <w14:ligatures w14:val="none"/>
        </w:rPr>
        <w:t xml:space="preserve">thereby </w:t>
      </w:r>
      <w:r w:rsidRPr="00BD5970">
        <w:rPr>
          <w:rFonts w:ascii="Times New Roman" w:eastAsia="Times New Roman" w:hAnsi="Times New Roman" w:cs="Times New Roman"/>
          <w:kern w:val="0"/>
          <w:lang w:val="en-US" w:eastAsia="es-MX"/>
          <w14:ligatures w14:val="none"/>
        </w:rPr>
        <w:t>bridging the gap between scholarly research and classroom practice. In this way, the publication can maximize both its academic impact and its practical applicability (Lowenthal, 2015).</w:t>
      </w:r>
    </w:p>
    <w:p w14:paraId="0E3AEC7F" w14:textId="77777777" w:rsidR="000E5F16" w:rsidRPr="0049467E" w:rsidRDefault="000E5F16" w:rsidP="000E5F16">
      <w:pPr>
        <w:pStyle w:val="NormalWeb"/>
        <w:rPr>
          <w:b/>
          <w:bCs/>
          <w:i/>
          <w:iCs/>
          <w:lang w:val="en-US"/>
        </w:rPr>
      </w:pPr>
      <w:r w:rsidRPr="0049467E">
        <w:rPr>
          <w:b/>
          <w:bCs/>
          <w:i/>
          <w:iCs/>
          <w:lang w:val="en-US"/>
        </w:rPr>
        <w:t>What is the connection to your innovation plan or initiative?</w:t>
      </w:r>
    </w:p>
    <w:p w14:paraId="0F870C4D" w14:textId="4EE062CB" w:rsidR="000E5F16" w:rsidRPr="0049467E" w:rsidRDefault="000E5F16" w:rsidP="0049467E">
      <w:pPr>
        <w:pStyle w:val="NormalWeb"/>
        <w:ind w:firstLine="708"/>
        <w:rPr>
          <w:lang w:val="en-US"/>
        </w:rPr>
      </w:pPr>
      <w:r w:rsidRPr="0049467E">
        <w:rPr>
          <w:lang w:val="en-US"/>
        </w:rPr>
        <w:t>This article is directly connected to my innovation plan</w:t>
      </w:r>
      <w:r w:rsidR="007632D0">
        <w:rPr>
          <w:lang w:val="en-US"/>
        </w:rPr>
        <w:t>,</w:t>
      </w:r>
      <w:r w:rsidRPr="0049467E">
        <w:rPr>
          <w:lang w:val="en-US"/>
        </w:rPr>
        <w:t xml:space="preserve"> </w:t>
      </w:r>
      <w:r w:rsidRPr="0049467E">
        <w:rPr>
          <w:rStyle w:val="Textoennegrita"/>
          <w:rFonts w:eastAsiaTheme="majorEastAsia"/>
          <w:b w:val="0"/>
          <w:bCs w:val="0"/>
          <w:lang w:val="en-US"/>
        </w:rPr>
        <w:t>“</w:t>
      </w:r>
      <w:r w:rsidR="00C20970" w:rsidRPr="00C20970">
        <w:rPr>
          <w:lang w:val="en-US"/>
        </w:rPr>
        <w:t>Reading and Writing Forest Explorers</w:t>
      </w:r>
      <w:r w:rsidR="007632D0">
        <w:rPr>
          <w:lang w:val="en-US"/>
        </w:rPr>
        <w:t>,</w:t>
      </w:r>
      <w:r w:rsidR="00C20970" w:rsidRPr="00C20970">
        <w:rPr>
          <w:lang w:val="en-US"/>
        </w:rPr>
        <w:t>”</w:t>
      </w:r>
      <w:r w:rsidR="007632D0">
        <w:rPr>
          <w:lang w:val="en-US"/>
        </w:rPr>
        <w:t xml:space="preserve"> </w:t>
      </w:r>
      <w:r w:rsidRPr="0049467E">
        <w:rPr>
          <w:lang w:val="en-US"/>
        </w:rPr>
        <w:t xml:space="preserve">an initiative designed to integrate a hybrid learning model into </w:t>
      </w:r>
      <w:proofErr w:type="gramStart"/>
      <w:r w:rsidRPr="0049467E">
        <w:rPr>
          <w:lang w:val="en-US"/>
        </w:rPr>
        <w:t>second-grade</w:t>
      </w:r>
      <w:proofErr w:type="gramEnd"/>
      <w:r w:rsidRPr="0049467E">
        <w:rPr>
          <w:lang w:val="en-US"/>
        </w:rPr>
        <w:t xml:space="preserve"> reading and writing instruction. The plan combines </w:t>
      </w:r>
      <w:r w:rsidRPr="0049467E">
        <w:rPr>
          <w:rStyle w:val="Textoennegrita"/>
          <w:rFonts w:eastAsiaTheme="majorEastAsia"/>
          <w:b w:val="0"/>
          <w:bCs w:val="0"/>
          <w:lang w:val="en-US"/>
        </w:rPr>
        <w:t>station rotation</w:t>
      </w:r>
      <w:r w:rsidRPr="0049467E">
        <w:rPr>
          <w:lang w:val="en-US"/>
        </w:rPr>
        <w:t xml:space="preserve">, the use of </w:t>
      </w:r>
      <w:r w:rsidRPr="0049467E">
        <w:rPr>
          <w:rStyle w:val="Textoennegrita"/>
          <w:rFonts w:eastAsiaTheme="majorEastAsia"/>
          <w:b w:val="0"/>
          <w:bCs w:val="0"/>
          <w:lang w:val="en-US"/>
        </w:rPr>
        <w:t>adaptive digital platforms</w:t>
      </w:r>
      <w:r w:rsidRPr="0049467E">
        <w:rPr>
          <w:lang w:val="en-US"/>
        </w:rPr>
        <w:t xml:space="preserve">, and </w:t>
      </w:r>
      <w:r w:rsidRPr="0049467E">
        <w:rPr>
          <w:rStyle w:val="Textoennegrita"/>
          <w:rFonts w:eastAsiaTheme="majorEastAsia"/>
          <w:b w:val="0"/>
          <w:bCs w:val="0"/>
          <w:lang w:val="en-US"/>
        </w:rPr>
        <w:t>gamification strategies</w:t>
      </w:r>
      <w:r w:rsidRPr="0049467E">
        <w:rPr>
          <w:lang w:val="en-US"/>
        </w:rPr>
        <w:t xml:space="preserve"> </w:t>
      </w:r>
      <w:r w:rsidR="001E1087" w:rsidRPr="0049467E">
        <w:rPr>
          <w:lang w:val="en-US"/>
        </w:rPr>
        <w:t>to</w:t>
      </w:r>
      <w:r w:rsidRPr="0049467E">
        <w:rPr>
          <w:lang w:val="en-US"/>
        </w:rPr>
        <w:t xml:space="preserve"> increas</w:t>
      </w:r>
      <w:r w:rsidR="001E1087" w:rsidRPr="0049467E">
        <w:rPr>
          <w:lang w:val="en-US"/>
        </w:rPr>
        <w:t>e</w:t>
      </w:r>
      <w:r w:rsidRPr="0049467E">
        <w:rPr>
          <w:lang w:val="en-US"/>
        </w:rPr>
        <w:t xml:space="preserve"> student motivation, engagement, and academic achievement.</w:t>
      </w:r>
    </w:p>
    <w:p w14:paraId="4AEFA164" w14:textId="77777777" w:rsidR="000E5F16" w:rsidRPr="0049467E" w:rsidRDefault="000E5F16" w:rsidP="0049467E">
      <w:pPr>
        <w:pStyle w:val="NormalWeb"/>
        <w:ind w:firstLine="708"/>
        <w:rPr>
          <w:lang w:val="en-US"/>
        </w:rPr>
      </w:pPr>
      <w:r w:rsidRPr="0049467E">
        <w:rPr>
          <w:lang w:val="en-US"/>
        </w:rPr>
        <w:t xml:space="preserve">The connection is essential because the article does not merely describe an isolated practice; it presents the </w:t>
      </w:r>
      <w:r w:rsidRPr="0049467E">
        <w:rPr>
          <w:rStyle w:val="Textoennegrita"/>
          <w:rFonts w:eastAsiaTheme="majorEastAsia"/>
          <w:b w:val="0"/>
          <w:bCs w:val="0"/>
          <w:lang w:val="en-US"/>
        </w:rPr>
        <w:t>results, challenges, and lessons learned</w:t>
      </w:r>
      <w:r w:rsidRPr="0049467E">
        <w:rPr>
          <w:lang w:val="en-US"/>
        </w:rPr>
        <w:t xml:space="preserve"> from implementing the plan in a real classroom setting. In doing so, it seeks to demonstrate how innovation can be a </w:t>
      </w:r>
      <w:r w:rsidRPr="0049467E">
        <w:rPr>
          <w:rStyle w:val="Textoennegrita"/>
          <w:rFonts w:eastAsiaTheme="majorEastAsia"/>
          <w:b w:val="0"/>
          <w:bCs w:val="0"/>
          <w:lang w:val="en-US"/>
        </w:rPr>
        <w:t>practical and transformative resource</w:t>
      </w:r>
      <w:r w:rsidRPr="0049467E">
        <w:rPr>
          <w:lang w:val="en-US"/>
        </w:rPr>
        <w:t xml:space="preserve"> that other teachers can replicate or adapt in their own contexts, contributing to the development of inclusive and meaningful literacy learning environments (Hughes &amp; Roblyer, 2022).</w:t>
      </w:r>
    </w:p>
    <w:p w14:paraId="4197B4A3" w14:textId="77777777" w:rsidR="000E5F16" w:rsidRPr="0049467E" w:rsidRDefault="000E5F16" w:rsidP="003D024A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es-MX"/>
          <w14:ligatures w14:val="none"/>
        </w:rPr>
      </w:pPr>
    </w:p>
    <w:p w14:paraId="4EA22D0C" w14:textId="1239757C" w:rsidR="000E5F16" w:rsidRPr="0049467E" w:rsidRDefault="001E1087" w:rsidP="001E1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62626"/>
          <w:kern w:val="0"/>
          <w:lang w:val="en-US" w:eastAsia="es-MX"/>
          <w14:ligatures w14:val="none"/>
        </w:rPr>
      </w:pPr>
      <w:r w:rsidRPr="001E1087">
        <w:rPr>
          <w:rFonts w:ascii="Times New Roman" w:eastAsia="Times New Roman" w:hAnsi="Times New Roman" w:cs="Times New Roman"/>
          <w:b/>
          <w:bCs/>
          <w:i/>
          <w:iCs/>
          <w:color w:val="262626"/>
          <w:kern w:val="0"/>
          <w:lang w:val="en-US" w:eastAsia="es-MX"/>
          <w14:ligatures w14:val="none"/>
        </w:rPr>
        <w:t>How can this information help others?</w:t>
      </w:r>
    </w:p>
    <w:p w14:paraId="785A79B1" w14:textId="77777777" w:rsidR="001E1087" w:rsidRPr="0049467E" w:rsidRDefault="001E1087" w:rsidP="0049467E">
      <w:pPr>
        <w:pStyle w:val="NormalWeb"/>
        <w:ind w:firstLine="708"/>
        <w:rPr>
          <w:lang w:val="en-US"/>
        </w:rPr>
      </w:pPr>
      <w:r w:rsidRPr="0049467E">
        <w:rPr>
          <w:lang w:val="en-US"/>
        </w:rPr>
        <w:t xml:space="preserve">This information can help other educators by providing a </w:t>
      </w:r>
      <w:r w:rsidRPr="0049467E">
        <w:rPr>
          <w:rStyle w:val="Textoennegrita"/>
          <w:rFonts w:eastAsiaTheme="majorEastAsia"/>
          <w:b w:val="0"/>
          <w:bCs w:val="0"/>
          <w:lang w:val="en-US"/>
        </w:rPr>
        <w:t>practical, replicable, and evidence-based model</w:t>
      </w:r>
      <w:r w:rsidRPr="0049467E">
        <w:rPr>
          <w:lang w:val="en-US"/>
        </w:rPr>
        <w:t xml:space="preserve"> for integrating hybrid learning into reading and writing instruction. Many teachers face the challenge of keeping students motivated while balancing face-to-face teaching with the use of digital tools. The article presents a clear pathway that combines </w:t>
      </w:r>
      <w:r w:rsidRPr="0049467E">
        <w:rPr>
          <w:rStyle w:val="Textoennegrita"/>
          <w:rFonts w:eastAsiaTheme="majorEastAsia"/>
          <w:b w:val="0"/>
          <w:bCs w:val="0"/>
          <w:lang w:val="en-US"/>
        </w:rPr>
        <w:t>station rotation, adaptive platforms, and gamification</w:t>
      </w:r>
      <w:r w:rsidRPr="0049467E">
        <w:rPr>
          <w:lang w:val="en-US"/>
        </w:rPr>
        <w:t>, showing how these strategies foster more inclusive, engaging, and effective literacy environments (Hughes &amp; Roblyer, 2022).</w:t>
      </w:r>
    </w:p>
    <w:p w14:paraId="41FB744F" w14:textId="6FA376F0" w:rsidR="001E1087" w:rsidRPr="0049467E" w:rsidRDefault="001E1087" w:rsidP="0049467E">
      <w:pPr>
        <w:pStyle w:val="NormalWeb"/>
        <w:ind w:firstLine="708"/>
        <w:rPr>
          <w:lang w:val="en-US"/>
        </w:rPr>
      </w:pPr>
      <w:r w:rsidRPr="0049467E">
        <w:rPr>
          <w:lang w:val="en-US"/>
        </w:rPr>
        <w:t xml:space="preserve">Additionally, this knowledge can serve </w:t>
      </w:r>
      <w:r w:rsidRPr="0049467E">
        <w:rPr>
          <w:rStyle w:val="Textoennegrita"/>
          <w:rFonts w:eastAsiaTheme="majorEastAsia"/>
          <w:b w:val="0"/>
          <w:bCs w:val="0"/>
          <w:lang w:val="en-US"/>
        </w:rPr>
        <w:t>as a valuable resource for school leaders and teacher trainers</w:t>
      </w:r>
      <w:r w:rsidRPr="0049467E">
        <w:rPr>
          <w:lang w:val="en-US"/>
        </w:rPr>
        <w:t xml:space="preserve">, who may utilize the article to design innovative literacy programs and make informed pedagogical decisions grounded in real-world experiences. By disseminating these practices, the goal is not only to inspire but also to </w:t>
      </w:r>
      <w:r w:rsidRPr="0049467E">
        <w:rPr>
          <w:rStyle w:val="Textoennegrita"/>
          <w:rFonts w:eastAsiaTheme="majorEastAsia"/>
          <w:b w:val="0"/>
          <w:bCs w:val="0"/>
          <w:lang w:val="en-US"/>
        </w:rPr>
        <w:t>empower the educational community</w:t>
      </w:r>
      <w:r w:rsidRPr="0049467E">
        <w:rPr>
          <w:lang w:val="en-US"/>
        </w:rPr>
        <w:t xml:space="preserve"> to adopt transformative approaches that address the current demands of teaching and learning (Edutopia, 2025).</w:t>
      </w:r>
    </w:p>
    <w:p w14:paraId="6D036729" w14:textId="77777777" w:rsidR="000E5F16" w:rsidRPr="0049467E" w:rsidRDefault="000E5F16" w:rsidP="003D024A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es-MX"/>
          <w14:ligatures w14:val="none"/>
        </w:rPr>
      </w:pPr>
    </w:p>
    <w:p w14:paraId="14B20E6A" w14:textId="3951FEA6" w:rsidR="001E1087" w:rsidRPr="0049467E" w:rsidRDefault="001E1087" w:rsidP="003D024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lang w:val="en-US" w:eastAsia="es-MX"/>
          <w14:ligatures w14:val="none"/>
        </w:rPr>
      </w:pPr>
      <w:r w:rsidRPr="0049467E">
        <w:rPr>
          <w:rFonts w:ascii="Times New Roman" w:hAnsi="Times New Roman" w:cs="Times New Roman"/>
          <w:b/>
          <w:bCs/>
          <w:i/>
          <w:iCs/>
          <w:lang w:val="en-US"/>
        </w:rPr>
        <w:t>Lessons learned or hoped to learn?</w:t>
      </w:r>
    </w:p>
    <w:p w14:paraId="6765F4BB" w14:textId="6A26538A" w:rsidR="001E1087" w:rsidRPr="0049467E" w:rsidRDefault="001E1087" w:rsidP="0049467E">
      <w:pPr>
        <w:pStyle w:val="NormalWeb"/>
        <w:ind w:firstLine="708"/>
        <w:rPr>
          <w:lang w:val="en-US"/>
        </w:rPr>
      </w:pPr>
      <w:r w:rsidRPr="0049467E">
        <w:rPr>
          <w:lang w:val="en-US"/>
        </w:rPr>
        <w:t xml:space="preserve">From the implementation of hybrid learning in reading and writing instruction, I have learned that when it is intentionally designed, it </w:t>
      </w:r>
      <w:r w:rsidRPr="0049467E">
        <w:rPr>
          <w:rStyle w:val="Textoennegrita"/>
          <w:rFonts w:eastAsiaTheme="majorEastAsia"/>
          <w:b w:val="0"/>
          <w:bCs w:val="0"/>
          <w:lang w:val="en-US"/>
        </w:rPr>
        <w:t>increases student motivation and engagement</w:t>
      </w:r>
      <w:r w:rsidRPr="0049467E">
        <w:rPr>
          <w:lang w:val="en-US"/>
        </w:rPr>
        <w:t xml:space="preserve">. </w:t>
      </w:r>
      <w:r w:rsidRPr="0049467E">
        <w:rPr>
          <w:rStyle w:val="Textoennegrita"/>
          <w:rFonts w:eastAsiaTheme="majorEastAsia"/>
          <w:b w:val="0"/>
          <w:bCs w:val="0"/>
          <w:lang w:val="en-US"/>
        </w:rPr>
        <w:t>Station rotation</w:t>
      </w:r>
      <w:r w:rsidRPr="0049467E">
        <w:rPr>
          <w:lang w:val="en-US"/>
        </w:rPr>
        <w:t xml:space="preserve"> has proven to be an effective strategy for differentiating instruction, allowing each child to progress at their own pace while still receiving targeted support</w:t>
      </w:r>
      <w:r w:rsidRPr="0049467E">
        <w:rPr>
          <w:lang w:val="en-US"/>
        </w:rPr>
        <w:t xml:space="preserve"> from the teacher</w:t>
      </w:r>
      <w:r w:rsidRPr="0049467E">
        <w:rPr>
          <w:lang w:val="en-US"/>
        </w:rPr>
        <w:t>.</w:t>
      </w:r>
      <w:r w:rsidR="0049467E">
        <w:rPr>
          <w:lang w:val="en-US"/>
        </w:rPr>
        <w:t xml:space="preserve"> </w:t>
      </w:r>
      <w:r w:rsidRPr="0049467E">
        <w:rPr>
          <w:lang w:val="en-US"/>
        </w:rPr>
        <w:t xml:space="preserve">Another lesson learned is that innovation cannot be sustained in isolation: it requires </w:t>
      </w:r>
      <w:r w:rsidRPr="0049467E">
        <w:rPr>
          <w:rStyle w:val="Textoennegrita"/>
          <w:rFonts w:eastAsiaTheme="majorEastAsia"/>
          <w:b w:val="0"/>
          <w:bCs w:val="0"/>
          <w:lang w:val="en-US"/>
        </w:rPr>
        <w:t>ongoing professional development and teacher collaboration</w:t>
      </w:r>
      <w:r w:rsidRPr="0049467E">
        <w:rPr>
          <w:lang w:val="en-US"/>
        </w:rPr>
        <w:t xml:space="preserve">, since </w:t>
      </w:r>
      <w:r w:rsidRPr="0049467E">
        <w:rPr>
          <w:lang w:val="en-US"/>
        </w:rPr>
        <w:lastRenderedPageBreak/>
        <w:t>sharing experiences and reflecting together strengthens the impact of hybrid practices (Hughes &amp; Roblyer, 2022).</w:t>
      </w:r>
    </w:p>
    <w:p w14:paraId="5BA453E3" w14:textId="60E3899F" w:rsidR="001E1087" w:rsidRPr="0049467E" w:rsidRDefault="001E1087" w:rsidP="003202C1">
      <w:pPr>
        <w:pStyle w:val="NormalWeb"/>
        <w:rPr>
          <w:lang w:val="en-US"/>
        </w:rPr>
      </w:pPr>
      <w:r w:rsidRPr="0049467E">
        <w:rPr>
          <w:lang w:val="en-US"/>
        </w:rPr>
        <w:t xml:space="preserve">As for what I </w:t>
      </w:r>
      <w:r w:rsidR="0049467E" w:rsidRPr="0049467E">
        <w:rPr>
          <w:lang w:val="en-US"/>
        </w:rPr>
        <w:t>want</w:t>
      </w:r>
      <w:r w:rsidRPr="0049467E">
        <w:rPr>
          <w:lang w:val="en-US"/>
        </w:rPr>
        <w:t xml:space="preserve"> to learn, I </w:t>
      </w:r>
      <w:r w:rsidRPr="0049467E">
        <w:rPr>
          <w:lang w:val="en-US"/>
        </w:rPr>
        <w:t>aim</w:t>
      </w:r>
      <w:r w:rsidRPr="0049467E">
        <w:rPr>
          <w:lang w:val="en-US"/>
        </w:rPr>
        <w:t xml:space="preserve"> to explore how hybrid models can be </w:t>
      </w:r>
      <w:r w:rsidRPr="0049467E">
        <w:rPr>
          <w:rStyle w:val="Textoennegrita"/>
          <w:rFonts w:eastAsiaTheme="majorEastAsia"/>
          <w:b w:val="0"/>
          <w:bCs w:val="0"/>
          <w:lang w:val="en-US"/>
        </w:rPr>
        <w:t>scaled across different grade levels</w:t>
      </w:r>
      <w:r w:rsidRPr="0049467E">
        <w:rPr>
          <w:lang w:val="en-US"/>
        </w:rPr>
        <w:t xml:space="preserve"> and adapted to diverse contexts, including </w:t>
      </w:r>
      <w:r w:rsidRPr="0049467E">
        <w:rPr>
          <w:lang w:val="en-US"/>
        </w:rPr>
        <w:t>those</w:t>
      </w:r>
      <w:r w:rsidRPr="0049467E">
        <w:rPr>
          <w:lang w:val="en-US"/>
        </w:rPr>
        <w:t xml:space="preserve"> with </w:t>
      </w:r>
      <w:r w:rsidRPr="0049467E">
        <w:rPr>
          <w:lang w:val="en-US"/>
        </w:rPr>
        <w:t xml:space="preserve">students from </w:t>
      </w:r>
      <w:r w:rsidR="0049467E" w:rsidRPr="0049467E">
        <w:rPr>
          <w:lang w:val="en-US"/>
        </w:rPr>
        <w:t>diverse</w:t>
      </w:r>
      <w:r w:rsidRPr="0049467E">
        <w:rPr>
          <w:lang w:val="en-US"/>
        </w:rPr>
        <w:t xml:space="preserve"> linguistic and cultural backgrounds. I also aim to collect evidence on the impact of hybrid learning on the </w:t>
      </w:r>
      <w:r w:rsidRPr="0049467E">
        <w:rPr>
          <w:rStyle w:val="Textoennegrita"/>
          <w:rFonts w:eastAsiaTheme="majorEastAsia"/>
          <w:b w:val="0"/>
          <w:bCs w:val="0"/>
          <w:lang w:val="en-US"/>
        </w:rPr>
        <w:t>long-term development of reading comprehension, writing fluency, and students’ self-confidence as readers and writers</w:t>
      </w:r>
      <w:r w:rsidRPr="0049467E">
        <w:rPr>
          <w:lang w:val="en-US"/>
        </w:rPr>
        <w:t xml:space="preserve"> (Hansen, 2013).</w:t>
      </w:r>
      <w:r w:rsidR="00C764E8" w:rsidRPr="0049467E">
        <w:rPr>
          <w:lang w:val="en-US"/>
        </w:rPr>
        <w:t xml:space="preserve"> </w:t>
      </w:r>
      <w:r w:rsidR="00C764E8" w:rsidRPr="0049467E">
        <w:rPr>
          <w:lang w:val="en-US"/>
        </w:rPr>
        <w:t>These insights not only inform my classroom practice but also provide evidence for the broader field of educational innovation, reinforcing the role of hybrid learning as a sustainable and transformative model.</w:t>
      </w:r>
    </w:p>
    <w:p w14:paraId="30549FAE" w14:textId="1B47A1C9" w:rsidR="00C764E8" w:rsidRPr="00C764E8" w:rsidRDefault="00C764E8" w:rsidP="00C76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62626"/>
          <w:kern w:val="0"/>
          <w:lang w:val="en-US" w:eastAsia="es-MX"/>
          <w14:ligatures w14:val="none"/>
        </w:rPr>
      </w:pPr>
      <w:r w:rsidRPr="00C764E8">
        <w:rPr>
          <w:rFonts w:ascii="Times New Roman" w:eastAsia="Times New Roman" w:hAnsi="Times New Roman" w:cs="Times New Roman"/>
          <w:b/>
          <w:bCs/>
          <w:i/>
          <w:iCs/>
          <w:color w:val="262626"/>
          <w:kern w:val="0"/>
          <w:lang w:val="en-US" w:eastAsia="es-MX"/>
          <w14:ligatures w14:val="none"/>
        </w:rPr>
        <w:t>What digital resources will be included in your article?</w:t>
      </w:r>
    </w:p>
    <w:p w14:paraId="0B64A72D" w14:textId="4249FBA7" w:rsidR="00C764E8" w:rsidRDefault="00C764E8" w:rsidP="00C764E8">
      <w:pPr>
        <w:pStyle w:val="NormalWeb"/>
        <w:rPr>
          <w:lang w:val="en-US"/>
        </w:rPr>
      </w:pPr>
      <w:r w:rsidRPr="0049467E">
        <w:rPr>
          <w:lang w:val="en-US"/>
        </w:rPr>
        <w:t xml:space="preserve">The article will include a description of the </w:t>
      </w:r>
      <w:r w:rsidR="0049467E" w:rsidRPr="0049467E">
        <w:rPr>
          <w:lang w:val="en-US"/>
        </w:rPr>
        <w:t>primary</w:t>
      </w:r>
      <w:r w:rsidRPr="0049467E">
        <w:rPr>
          <w:lang w:val="en-US"/>
        </w:rPr>
        <w:t xml:space="preserve"> </w:t>
      </w:r>
      <w:r w:rsidRPr="0049467E">
        <w:rPr>
          <w:rStyle w:val="Textoennegrita"/>
          <w:rFonts w:eastAsiaTheme="majorEastAsia"/>
          <w:b w:val="0"/>
          <w:bCs w:val="0"/>
          <w:lang w:val="en-US"/>
        </w:rPr>
        <w:t>digital resources</w:t>
      </w:r>
      <w:r w:rsidRPr="0049467E">
        <w:rPr>
          <w:lang w:val="en-US"/>
        </w:rPr>
        <w:t xml:space="preserve"> integrated into the hybrid model of reading and writing instruction: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6"/>
        <w:gridCol w:w="6212"/>
      </w:tblGrid>
      <w:tr w:rsidR="00D25A0B" w14:paraId="1AFC9901" w14:textId="77777777" w:rsidTr="00D25A0B">
        <w:tc>
          <w:tcPr>
            <w:tcW w:w="2605" w:type="dxa"/>
          </w:tcPr>
          <w:p w14:paraId="37B010B8" w14:textId="79308704" w:rsidR="00D25A0B" w:rsidRDefault="00D25A0B" w:rsidP="00C764E8">
            <w:pPr>
              <w:pStyle w:val="NormalWeb"/>
              <w:rPr>
                <w:lang w:val="en-US"/>
              </w:rPr>
            </w:pPr>
            <w:r>
              <w:rPr>
                <w:noProof/>
                <w:lang w:val="en-US"/>
                <w14:ligatures w14:val="standardContextual"/>
              </w:rPr>
              <w:drawing>
                <wp:inline distT="0" distB="0" distL="0" distR="0" wp14:anchorId="55B89495" wp14:editId="4EA44E8C">
                  <wp:extent cx="1287301" cy="638582"/>
                  <wp:effectExtent l="0" t="0" r="0" b="0"/>
                  <wp:docPr id="161894953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94953" name="Imagen 16189495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896" cy="648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3" w:type="dxa"/>
          </w:tcPr>
          <w:p w14:paraId="787E2920" w14:textId="67FA4EC8" w:rsidR="00D25A0B" w:rsidRDefault="00D25A0B" w:rsidP="00C764E8">
            <w:pPr>
              <w:pStyle w:val="NormalWeb"/>
              <w:rPr>
                <w:lang w:val="en-US"/>
              </w:rPr>
            </w:pPr>
            <w:r w:rsidRPr="0049467E">
              <w:rPr>
                <w:rStyle w:val="Textoennegrita"/>
                <w:rFonts w:eastAsiaTheme="majorEastAsia"/>
                <w:b w:val="0"/>
                <w:bCs w:val="0"/>
                <w:i/>
                <w:iCs/>
                <w:lang w:val="en-US"/>
              </w:rPr>
              <w:t>iReady</w:t>
            </w:r>
            <w:r w:rsidRPr="0049467E">
              <w:rPr>
                <w:i/>
                <w:iCs/>
                <w:lang w:val="en-US"/>
              </w:rPr>
              <w:t>:</w:t>
            </w:r>
            <w:r w:rsidRPr="0049467E">
              <w:rPr>
                <w:lang w:val="en-US"/>
              </w:rPr>
              <w:t xml:space="preserve"> an adaptive platform that adjusts reading and writing activities according to each student’s level, providing personalized practice and detailed progress monitoring.</w:t>
            </w:r>
          </w:p>
        </w:tc>
      </w:tr>
      <w:tr w:rsidR="00D25A0B" w14:paraId="4B791927" w14:textId="77777777" w:rsidTr="00D25A0B">
        <w:tc>
          <w:tcPr>
            <w:tcW w:w="2605" w:type="dxa"/>
          </w:tcPr>
          <w:p w14:paraId="67866FE3" w14:textId="4502C4FE" w:rsidR="00D25A0B" w:rsidRDefault="00D25A0B" w:rsidP="00C764E8">
            <w:pPr>
              <w:pStyle w:val="NormalWeb"/>
              <w:rPr>
                <w:lang w:val="en-US"/>
              </w:rPr>
            </w:pPr>
            <w:r>
              <w:rPr>
                <w:noProof/>
                <w:lang w:val="en-US"/>
                <w14:ligatures w14:val="standardContextual"/>
              </w:rPr>
              <w:drawing>
                <wp:inline distT="0" distB="0" distL="0" distR="0" wp14:anchorId="164C1DBE" wp14:editId="4D1CC319">
                  <wp:extent cx="1287145" cy="671554"/>
                  <wp:effectExtent l="0" t="0" r="0" b="1905"/>
                  <wp:docPr id="807628449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628449" name="Imagen 80762844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826" cy="680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3" w:type="dxa"/>
          </w:tcPr>
          <w:p w14:paraId="2B7F3DF8" w14:textId="1F2D7EB6" w:rsidR="00D25A0B" w:rsidRDefault="00D25A0B" w:rsidP="00C764E8">
            <w:pPr>
              <w:pStyle w:val="NormalWeb"/>
              <w:rPr>
                <w:lang w:val="en-US"/>
              </w:rPr>
            </w:pPr>
            <w:r w:rsidRPr="0049467E">
              <w:rPr>
                <w:rStyle w:val="Textoennegrita"/>
                <w:rFonts w:eastAsiaTheme="majorEastAsia"/>
                <w:b w:val="0"/>
                <w:bCs w:val="0"/>
                <w:i/>
                <w:iCs/>
                <w:lang w:val="en-US"/>
              </w:rPr>
              <w:t>Amplify Reading</w:t>
            </w:r>
            <w:r w:rsidRPr="0049467E">
              <w:rPr>
                <w:i/>
                <w:iCs/>
                <w:lang w:val="en-US"/>
              </w:rPr>
              <w:t>:</w:t>
            </w:r>
            <w:r w:rsidRPr="0049467E">
              <w:rPr>
                <w:lang w:val="en-US"/>
              </w:rPr>
              <w:t xml:space="preserve"> interactive, story-based resources that strengthen comprehension, vocabulary, and student motivation through dynamic narrative experiences.</w:t>
            </w:r>
          </w:p>
        </w:tc>
      </w:tr>
      <w:tr w:rsidR="00D25A0B" w14:paraId="50F01ED0" w14:textId="77777777" w:rsidTr="00D25A0B">
        <w:tc>
          <w:tcPr>
            <w:tcW w:w="2605" w:type="dxa"/>
          </w:tcPr>
          <w:p w14:paraId="7FC6C0A2" w14:textId="3598D0B2" w:rsidR="00D25A0B" w:rsidRDefault="00D25A0B" w:rsidP="00C764E8">
            <w:pPr>
              <w:pStyle w:val="NormalWeb"/>
              <w:rPr>
                <w:lang w:val="en-US"/>
              </w:rPr>
            </w:pPr>
            <w:r>
              <w:rPr>
                <w:noProof/>
                <w:lang w:val="en-US"/>
                <w14:ligatures w14:val="standardContextual"/>
              </w:rPr>
              <w:drawing>
                <wp:inline distT="0" distB="0" distL="0" distR="0" wp14:anchorId="428B092B" wp14:editId="42895C33">
                  <wp:extent cx="1492898" cy="464770"/>
                  <wp:effectExtent l="0" t="0" r="0" b="5715"/>
                  <wp:docPr id="107324976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249760" name="Imagen 107324976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739" cy="47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3" w:type="dxa"/>
          </w:tcPr>
          <w:p w14:paraId="06D91465" w14:textId="2BD9719F" w:rsidR="00D25A0B" w:rsidRDefault="00D25A0B" w:rsidP="00C764E8">
            <w:pPr>
              <w:pStyle w:val="NormalWeb"/>
              <w:rPr>
                <w:lang w:val="en-US"/>
              </w:rPr>
            </w:pPr>
            <w:r w:rsidRPr="0049467E">
              <w:rPr>
                <w:rStyle w:val="Textoennegrita"/>
                <w:rFonts w:eastAsiaTheme="majorEastAsia"/>
                <w:b w:val="0"/>
                <w:bCs w:val="0"/>
                <w:i/>
                <w:iCs/>
                <w:lang w:val="en-US"/>
              </w:rPr>
              <w:t>Schoology</w:t>
            </w:r>
            <w:r w:rsidRPr="0049467E">
              <w:rPr>
                <w:i/>
                <w:iCs/>
                <w:lang w:val="en-US"/>
              </w:rPr>
              <w:t>:</w:t>
            </w:r>
            <w:r w:rsidRPr="0049467E">
              <w:rPr>
                <w:lang w:val="en-US"/>
              </w:rPr>
              <w:t xml:space="preserve"> a learning management system that organizes assignments, fosters online collaboration, and facilitates timely feedback between teachers and students.</w:t>
            </w:r>
          </w:p>
        </w:tc>
      </w:tr>
      <w:tr w:rsidR="00D25A0B" w14:paraId="613BC303" w14:textId="77777777" w:rsidTr="00D25A0B">
        <w:tc>
          <w:tcPr>
            <w:tcW w:w="2605" w:type="dxa"/>
          </w:tcPr>
          <w:p w14:paraId="26DAED47" w14:textId="1E162EE7" w:rsidR="00D25A0B" w:rsidRDefault="00D25A0B" w:rsidP="00C764E8">
            <w:pPr>
              <w:pStyle w:val="NormalWeb"/>
              <w:rPr>
                <w:lang w:val="en-US"/>
              </w:rPr>
            </w:pPr>
            <w:r>
              <w:rPr>
                <w:lang w:val="en-US"/>
              </w:rPr>
              <w:t>\</w:t>
            </w:r>
            <w:r>
              <w:rPr>
                <w:noProof/>
                <w:lang w:val="en-US"/>
                <w14:ligatures w14:val="standardContextual"/>
              </w:rPr>
              <w:t xml:space="preserve"> </w:t>
            </w:r>
            <w:r>
              <w:rPr>
                <w:noProof/>
                <w:lang w:val="en-US"/>
                <w14:ligatures w14:val="standardContextual"/>
              </w:rPr>
              <w:drawing>
                <wp:inline distT="0" distB="0" distL="0" distR="0" wp14:anchorId="1A8BB817" wp14:editId="4838B520">
                  <wp:extent cx="998375" cy="640337"/>
                  <wp:effectExtent l="0" t="0" r="5080" b="0"/>
                  <wp:docPr id="580106623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106623" name="Imagen 58010662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810" cy="656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3" w:type="dxa"/>
          </w:tcPr>
          <w:p w14:paraId="37CD7CDC" w14:textId="51E9133B" w:rsidR="00D25A0B" w:rsidRDefault="00D25A0B" w:rsidP="00C764E8">
            <w:pPr>
              <w:pStyle w:val="NormalWeb"/>
              <w:rPr>
                <w:lang w:val="en-US"/>
              </w:rPr>
            </w:pPr>
            <w:proofErr w:type="spellStart"/>
            <w:r w:rsidRPr="0049467E">
              <w:rPr>
                <w:rStyle w:val="Textoennegrita"/>
                <w:rFonts w:eastAsiaTheme="majorEastAsia"/>
                <w:b w:val="0"/>
                <w:bCs w:val="0"/>
                <w:i/>
                <w:iCs/>
                <w:lang w:val="en-US"/>
              </w:rPr>
              <w:t>PebbleGo</w:t>
            </w:r>
            <w:proofErr w:type="spellEnd"/>
            <w:r w:rsidRPr="0049467E">
              <w:rPr>
                <w:i/>
                <w:iCs/>
                <w:lang w:val="en-US"/>
              </w:rPr>
              <w:t>:</w:t>
            </w:r>
            <w:r w:rsidRPr="0049467E">
              <w:rPr>
                <w:lang w:val="en-US"/>
              </w:rPr>
              <w:t xml:space="preserve"> a digital library designed for elementary students, offering leveled texts and audio support that promote both bilingual literacy and independent reading, making it a powerful tool for inclusion in diverse classrooms.</w:t>
            </w:r>
          </w:p>
        </w:tc>
      </w:tr>
      <w:tr w:rsidR="00D25A0B" w14:paraId="53E61005" w14:textId="77777777" w:rsidTr="00D25A0B">
        <w:tc>
          <w:tcPr>
            <w:tcW w:w="2605" w:type="dxa"/>
          </w:tcPr>
          <w:p w14:paraId="4CB521AE" w14:textId="3D1D6698" w:rsidR="00D25A0B" w:rsidRDefault="00D25A0B" w:rsidP="00C764E8">
            <w:pPr>
              <w:pStyle w:val="NormalWeb"/>
              <w:rPr>
                <w:lang w:val="en-US"/>
              </w:rPr>
            </w:pPr>
            <w:r>
              <w:rPr>
                <w:noProof/>
                <w:lang w:val="en-US"/>
                <w14:ligatures w14:val="standardContextual"/>
              </w:rPr>
              <w:drawing>
                <wp:inline distT="0" distB="0" distL="0" distR="0" wp14:anchorId="2BF59DAD" wp14:editId="10F1C5D3">
                  <wp:extent cx="1443851" cy="451757"/>
                  <wp:effectExtent l="0" t="0" r="4445" b="5715"/>
                  <wp:docPr id="1002190423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190423" name="Imagen 1002190423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73" cy="462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3" w:type="dxa"/>
          </w:tcPr>
          <w:p w14:paraId="5BD9F703" w14:textId="268843C8" w:rsidR="00D25A0B" w:rsidRDefault="00D25A0B" w:rsidP="00C764E8">
            <w:pPr>
              <w:pStyle w:val="NormalWeb"/>
              <w:rPr>
                <w:lang w:val="en-US"/>
              </w:rPr>
            </w:pPr>
            <w:proofErr w:type="gramStart"/>
            <w:r w:rsidRPr="0049467E">
              <w:rPr>
                <w:rStyle w:val="Textoennegrita"/>
                <w:rFonts w:eastAsiaTheme="majorEastAsia"/>
                <w:b w:val="0"/>
                <w:bCs w:val="0"/>
                <w:i/>
                <w:iCs/>
                <w:lang w:val="en-US"/>
              </w:rPr>
              <w:t>Kahoot!</w:t>
            </w:r>
            <w:r w:rsidRPr="0049467E">
              <w:rPr>
                <w:i/>
                <w:iCs/>
                <w:lang w:val="en-US"/>
              </w:rPr>
              <w:t>:</w:t>
            </w:r>
            <w:proofErr w:type="gramEnd"/>
            <w:r w:rsidRPr="0049467E">
              <w:rPr>
                <w:lang w:val="en-US"/>
              </w:rPr>
              <w:t xml:space="preserve"> a game-based learning tool that increases motivation and participation through interactive quizzes and collaborative competition</w:t>
            </w:r>
          </w:p>
        </w:tc>
      </w:tr>
      <w:tr w:rsidR="00D25A0B" w14:paraId="45392926" w14:textId="77777777" w:rsidTr="00D25A0B">
        <w:tc>
          <w:tcPr>
            <w:tcW w:w="2605" w:type="dxa"/>
          </w:tcPr>
          <w:p w14:paraId="3C01792B" w14:textId="4AC7940E" w:rsidR="00D25A0B" w:rsidRDefault="00D25A0B" w:rsidP="00C764E8">
            <w:pPr>
              <w:pStyle w:val="NormalWeb"/>
              <w:rPr>
                <w:lang w:val="en-US"/>
              </w:rPr>
            </w:pPr>
            <w:r>
              <w:rPr>
                <w:noProof/>
                <w:lang w:val="en-US"/>
                <w14:ligatures w14:val="standardContextual"/>
              </w:rPr>
              <w:drawing>
                <wp:inline distT="0" distB="0" distL="0" distR="0" wp14:anchorId="6587BF51" wp14:editId="24D987BA">
                  <wp:extent cx="1491238" cy="505097"/>
                  <wp:effectExtent l="0" t="0" r="0" b="3175"/>
                  <wp:docPr id="1628852868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852868" name="Imagen 1628852868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2" cy="514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3" w:type="dxa"/>
          </w:tcPr>
          <w:p w14:paraId="1F9228EF" w14:textId="2A53D592" w:rsidR="00D25A0B" w:rsidRDefault="00D25A0B" w:rsidP="00C764E8">
            <w:pPr>
              <w:pStyle w:val="NormalWeb"/>
              <w:rPr>
                <w:lang w:val="en-US"/>
              </w:rPr>
            </w:pPr>
            <w:r w:rsidRPr="0049467E">
              <w:rPr>
                <w:rStyle w:val="Textoennegrita"/>
                <w:rFonts w:eastAsiaTheme="majorEastAsia"/>
                <w:b w:val="0"/>
                <w:bCs w:val="0"/>
                <w:i/>
                <w:iCs/>
                <w:lang w:val="en-US"/>
              </w:rPr>
              <w:t>Adobe Express</w:t>
            </w:r>
            <w:r w:rsidRPr="0049467E">
              <w:rPr>
                <w:i/>
                <w:iCs/>
                <w:lang w:val="en-US"/>
              </w:rPr>
              <w:t>:</w:t>
            </w:r>
            <w:r w:rsidRPr="0049467E">
              <w:rPr>
                <w:lang w:val="en-US"/>
              </w:rPr>
              <w:t xml:space="preserve"> a creative platform that enables students to design visual projects, such as posters and storyboards, fostering creativity in writing and presentation.</w:t>
            </w:r>
          </w:p>
        </w:tc>
      </w:tr>
      <w:tr w:rsidR="00D25A0B" w14:paraId="459A2A77" w14:textId="77777777" w:rsidTr="00D25A0B">
        <w:tc>
          <w:tcPr>
            <w:tcW w:w="2605" w:type="dxa"/>
          </w:tcPr>
          <w:p w14:paraId="39213770" w14:textId="01F0A80E" w:rsidR="00D25A0B" w:rsidRDefault="00D25A0B" w:rsidP="00C764E8">
            <w:pPr>
              <w:pStyle w:val="NormalWeb"/>
              <w:rPr>
                <w:lang w:val="en-US"/>
              </w:rPr>
            </w:pPr>
            <w:r>
              <w:rPr>
                <w:noProof/>
                <w:lang w:val="en-US"/>
                <w14:ligatures w14:val="standardContextual"/>
              </w:rPr>
              <w:drawing>
                <wp:inline distT="0" distB="0" distL="0" distR="0" wp14:anchorId="086BE114" wp14:editId="73F1F88F">
                  <wp:extent cx="1521584" cy="569427"/>
                  <wp:effectExtent l="0" t="0" r="2540" b="2540"/>
                  <wp:docPr id="1282219324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219324" name="Imagen 1282219324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762" cy="576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3" w:type="dxa"/>
          </w:tcPr>
          <w:p w14:paraId="4A58A40C" w14:textId="541E4BBE" w:rsidR="00D25A0B" w:rsidRPr="00D25A0B" w:rsidRDefault="00D25A0B" w:rsidP="00C764E8">
            <w:pPr>
              <w:pStyle w:val="NormalWeb"/>
              <w:rPr>
                <w:rStyle w:val="Textoennegrita"/>
                <w:b w:val="0"/>
                <w:bCs w:val="0"/>
                <w:lang w:val="en-US"/>
              </w:rPr>
            </w:pPr>
            <w:r w:rsidRPr="0049467E">
              <w:rPr>
                <w:rStyle w:val="Textoennegrita"/>
                <w:rFonts w:eastAsiaTheme="majorEastAsia"/>
                <w:b w:val="0"/>
                <w:bCs w:val="0"/>
                <w:i/>
                <w:iCs/>
                <w:lang w:val="en-US"/>
              </w:rPr>
              <w:t>Genially</w:t>
            </w:r>
            <w:r w:rsidRPr="0049467E">
              <w:rPr>
                <w:i/>
                <w:iCs/>
                <w:lang w:val="en-US"/>
              </w:rPr>
              <w:t>:</w:t>
            </w:r>
            <w:r w:rsidRPr="0049467E">
              <w:rPr>
                <w:lang w:val="en-US"/>
              </w:rPr>
              <w:t xml:space="preserve"> an interactive content creation tool that supports the design of gamified activities, presentations, and storytelling experiences, enriching literacy instruction with dynamic and visually engaging resources.</w:t>
            </w:r>
          </w:p>
        </w:tc>
      </w:tr>
    </w:tbl>
    <w:p w14:paraId="4FEC2A24" w14:textId="77777777" w:rsidR="00D25A0B" w:rsidRPr="0049467E" w:rsidRDefault="00D25A0B" w:rsidP="00C764E8">
      <w:pPr>
        <w:pStyle w:val="NormalWeb"/>
        <w:rPr>
          <w:lang w:val="en-US"/>
        </w:rPr>
      </w:pPr>
    </w:p>
    <w:p w14:paraId="78CE2D8D" w14:textId="3BBCB7EF" w:rsidR="002929F5" w:rsidRPr="0049467E" w:rsidRDefault="002929F5" w:rsidP="00D25A0B">
      <w:pPr>
        <w:pStyle w:val="NormalWeb"/>
        <w:rPr>
          <w:lang w:val="en-US"/>
        </w:rPr>
      </w:pPr>
    </w:p>
    <w:p w14:paraId="4FA326E0" w14:textId="14237DD8" w:rsidR="00C764E8" w:rsidRPr="003202C1" w:rsidRDefault="00C764E8" w:rsidP="003202C1">
      <w:pPr>
        <w:pStyle w:val="NormalWeb"/>
        <w:ind w:firstLine="360"/>
        <w:rPr>
          <w:lang w:val="en-US"/>
        </w:rPr>
      </w:pPr>
      <w:r w:rsidRPr="0049467E">
        <w:rPr>
          <w:lang w:val="en-US"/>
        </w:rPr>
        <w:lastRenderedPageBreak/>
        <w:t xml:space="preserve">These resources not only enrich instruction but also enable students to learn in a </w:t>
      </w:r>
      <w:r w:rsidRPr="0049467E">
        <w:rPr>
          <w:rStyle w:val="Textoennegrita"/>
          <w:rFonts w:eastAsiaTheme="majorEastAsia"/>
          <w:b w:val="0"/>
          <w:bCs w:val="0"/>
          <w:lang w:val="en-US"/>
        </w:rPr>
        <w:t>differentiated, inclusive, and motivating way</w:t>
      </w:r>
      <w:r w:rsidRPr="0049467E">
        <w:rPr>
          <w:lang w:val="en-US"/>
        </w:rPr>
        <w:t>, demonstrating how technology can enhance literacy processes (Taylor &amp; Francis Author Services, 2023).</w:t>
      </w:r>
    </w:p>
    <w:p w14:paraId="6F21EEC2" w14:textId="52E95A43" w:rsidR="000E5F16" w:rsidRPr="0049467E" w:rsidRDefault="0049467E" w:rsidP="00C76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62626"/>
          <w:kern w:val="0"/>
          <w:lang w:val="en-US" w:eastAsia="es-MX"/>
          <w14:ligatures w14:val="none"/>
        </w:rPr>
      </w:pPr>
      <w:r w:rsidRPr="0049467E">
        <w:rPr>
          <w:rFonts w:ascii="Times New Roman" w:eastAsia="Times New Roman" w:hAnsi="Times New Roman" w:cs="Times New Roman"/>
          <w:b/>
          <w:bCs/>
          <w:i/>
          <w:iCs/>
          <w:color w:val="262626"/>
          <w:kern w:val="0"/>
          <w:lang w:val="en-US" w:eastAsia="es-MX"/>
          <w14:ligatures w14:val="none"/>
        </w:rPr>
        <w:t>Consider</w:t>
      </w:r>
      <w:r w:rsidR="00C764E8" w:rsidRPr="00C764E8">
        <w:rPr>
          <w:rFonts w:ascii="Times New Roman" w:eastAsia="Times New Roman" w:hAnsi="Times New Roman" w:cs="Times New Roman"/>
          <w:b/>
          <w:bCs/>
          <w:i/>
          <w:iCs/>
          <w:color w:val="262626"/>
          <w:kern w:val="0"/>
          <w:lang w:val="en-US" w:eastAsia="es-MX"/>
          <w14:ligatures w14:val="none"/>
        </w:rPr>
        <w:t xml:space="preserve"> your audience, digital presence, and the message you </w:t>
      </w:r>
      <w:r w:rsidRPr="0049467E">
        <w:rPr>
          <w:rFonts w:ascii="Times New Roman" w:eastAsia="Times New Roman" w:hAnsi="Times New Roman" w:cs="Times New Roman"/>
          <w:b/>
          <w:bCs/>
          <w:i/>
          <w:iCs/>
          <w:color w:val="262626"/>
          <w:kern w:val="0"/>
          <w:lang w:val="en-US" w:eastAsia="es-MX"/>
          <w14:ligatures w14:val="none"/>
        </w:rPr>
        <w:t>aim</w:t>
      </w:r>
      <w:r w:rsidR="00C764E8" w:rsidRPr="00C764E8">
        <w:rPr>
          <w:rFonts w:ascii="Times New Roman" w:eastAsia="Times New Roman" w:hAnsi="Times New Roman" w:cs="Times New Roman"/>
          <w:b/>
          <w:bCs/>
          <w:i/>
          <w:iCs/>
          <w:color w:val="262626"/>
          <w:kern w:val="0"/>
          <w:lang w:val="en-US" w:eastAsia="es-MX"/>
          <w14:ligatures w14:val="none"/>
        </w:rPr>
        <w:t xml:space="preserve"> to co</w:t>
      </w:r>
      <w:r w:rsidRPr="0049467E">
        <w:rPr>
          <w:rFonts w:ascii="Times New Roman" w:eastAsia="Times New Roman" w:hAnsi="Times New Roman" w:cs="Times New Roman"/>
          <w:b/>
          <w:bCs/>
          <w:i/>
          <w:iCs/>
          <w:color w:val="262626"/>
          <w:kern w:val="0"/>
          <w:lang w:val="en-US" w:eastAsia="es-MX"/>
          <w14:ligatures w14:val="none"/>
        </w:rPr>
        <w:t>nvey</w:t>
      </w:r>
      <w:r w:rsidR="00C764E8" w:rsidRPr="00C764E8">
        <w:rPr>
          <w:rFonts w:ascii="Times New Roman" w:eastAsia="Times New Roman" w:hAnsi="Times New Roman" w:cs="Times New Roman"/>
          <w:b/>
          <w:bCs/>
          <w:i/>
          <w:iCs/>
          <w:color w:val="262626"/>
          <w:kern w:val="0"/>
          <w:lang w:val="en-US" w:eastAsia="es-MX"/>
          <w14:ligatures w14:val="none"/>
        </w:rPr>
        <w:t>. </w:t>
      </w:r>
    </w:p>
    <w:p w14:paraId="0E3F2426" w14:textId="77777777" w:rsidR="00C764E8" w:rsidRPr="0049467E" w:rsidRDefault="00C764E8" w:rsidP="0049467E">
      <w:pPr>
        <w:pStyle w:val="NormalWeb"/>
        <w:ind w:firstLine="708"/>
        <w:rPr>
          <w:lang w:val="en-US"/>
        </w:rPr>
      </w:pPr>
      <w:r w:rsidRPr="0049467E">
        <w:rPr>
          <w:rStyle w:val="Textoennegrita"/>
          <w:rFonts w:eastAsiaTheme="majorEastAsia"/>
          <w:i/>
          <w:iCs/>
          <w:lang w:val="en-US"/>
        </w:rPr>
        <w:t>Audience:</w:t>
      </w:r>
      <w:r w:rsidRPr="0049467E">
        <w:rPr>
          <w:lang w:val="en-US"/>
        </w:rPr>
        <w:t xml:space="preserve"> The article is primarily intended for </w:t>
      </w:r>
      <w:r w:rsidRPr="0049467E">
        <w:rPr>
          <w:rStyle w:val="Textoennegrita"/>
          <w:rFonts w:eastAsiaTheme="majorEastAsia"/>
          <w:b w:val="0"/>
          <w:bCs w:val="0"/>
          <w:lang w:val="en-US"/>
        </w:rPr>
        <w:t>elementary school teachers, literacy coaches, and school leaders</w:t>
      </w:r>
      <w:r w:rsidRPr="0049467E">
        <w:rPr>
          <w:lang w:val="en-US"/>
        </w:rPr>
        <w:t xml:space="preserve"> who seek practical strategies to integrate hybrid learning into reading and writing instruction. A secondary audience includes </w:t>
      </w:r>
      <w:r w:rsidRPr="0049467E">
        <w:rPr>
          <w:rStyle w:val="Textoennegrita"/>
          <w:rFonts w:eastAsiaTheme="majorEastAsia"/>
          <w:b w:val="0"/>
          <w:bCs w:val="0"/>
          <w:lang w:val="en-US"/>
        </w:rPr>
        <w:t>researchers and instructional designers</w:t>
      </w:r>
      <w:r w:rsidRPr="0049467E">
        <w:rPr>
          <w:lang w:val="en-US"/>
        </w:rPr>
        <w:t xml:space="preserve"> interested in exploring how innovation and technology can strengthen literacy in bilingual and inclusive contexts.</w:t>
      </w:r>
    </w:p>
    <w:p w14:paraId="275A8C04" w14:textId="5E39BC24" w:rsidR="00C764E8" w:rsidRPr="0049467E" w:rsidRDefault="00C764E8" w:rsidP="0049467E">
      <w:pPr>
        <w:pStyle w:val="NormalWeb"/>
        <w:ind w:firstLine="708"/>
        <w:rPr>
          <w:lang w:val="en-US"/>
        </w:rPr>
      </w:pPr>
      <w:r w:rsidRPr="0049467E">
        <w:rPr>
          <w:rStyle w:val="Textoennegrita"/>
          <w:rFonts w:eastAsiaTheme="majorEastAsia"/>
          <w:i/>
          <w:iCs/>
          <w:lang w:val="en-US"/>
        </w:rPr>
        <w:t>Digital Presence:</w:t>
      </w:r>
      <w:r w:rsidRPr="0049467E">
        <w:rPr>
          <w:lang w:val="en-US"/>
        </w:rPr>
        <w:t xml:space="preserve"> To extend its reach, the article will be shared through my </w:t>
      </w:r>
      <w:r w:rsidRPr="0049467E">
        <w:rPr>
          <w:rStyle w:val="Textoennegrita"/>
          <w:rFonts w:eastAsiaTheme="majorEastAsia"/>
          <w:b w:val="0"/>
          <w:bCs w:val="0"/>
          <w:lang w:val="en-US"/>
        </w:rPr>
        <w:t>e</w:t>
      </w:r>
      <w:r w:rsidRPr="0049467E">
        <w:rPr>
          <w:rStyle w:val="Textoennegrita"/>
          <w:rFonts w:eastAsiaTheme="majorEastAsia"/>
          <w:b w:val="0"/>
          <w:bCs w:val="0"/>
          <w:lang w:val="en-US"/>
        </w:rPr>
        <w:t>-p</w:t>
      </w:r>
      <w:r w:rsidRPr="0049467E">
        <w:rPr>
          <w:rStyle w:val="Textoennegrita"/>
          <w:rFonts w:eastAsiaTheme="majorEastAsia"/>
          <w:b w:val="0"/>
          <w:bCs w:val="0"/>
          <w:lang w:val="en-US"/>
        </w:rPr>
        <w:t>ortfolio</w:t>
      </w:r>
      <w:r w:rsidRPr="0049467E">
        <w:rPr>
          <w:lang w:val="en-US"/>
        </w:rPr>
        <w:t xml:space="preserve">, in </w:t>
      </w:r>
      <w:r w:rsidRPr="0049467E">
        <w:rPr>
          <w:rStyle w:val="Textoennegrita"/>
          <w:rFonts w:eastAsiaTheme="majorEastAsia"/>
          <w:b w:val="0"/>
          <w:bCs w:val="0"/>
          <w:lang w:val="en-US"/>
        </w:rPr>
        <w:t>professional learning networks</w:t>
      </w:r>
      <w:r w:rsidRPr="0049467E">
        <w:rPr>
          <w:lang w:val="en-US"/>
        </w:rPr>
        <w:t xml:space="preserve"> (such as ISTE, LinkedIn, and Twitter), and on open platforms</w:t>
      </w:r>
      <w:r w:rsidRPr="0049467E">
        <w:rPr>
          <w:lang w:val="en-US"/>
        </w:rPr>
        <w:t>,</w:t>
      </w:r>
      <w:r w:rsidRPr="0049467E">
        <w:rPr>
          <w:lang w:val="en-US"/>
        </w:rPr>
        <w:t xml:space="preserve"> </w:t>
      </w:r>
      <w:r w:rsidRPr="0049467E">
        <w:rPr>
          <w:lang w:val="en-US"/>
        </w:rPr>
        <w:t>including</w:t>
      </w:r>
      <w:r w:rsidRPr="0049467E">
        <w:rPr>
          <w:lang w:val="en-US"/>
        </w:rPr>
        <w:t xml:space="preserve"> </w:t>
      </w:r>
      <w:r w:rsidRPr="0049467E">
        <w:rPr>
          <w:rStyle w:val="Textoennegrita"/>
          <w:rFonts w:eastAsiaTheme="majorEastAsia"/>
          <w:b w:val="0"/>
          <w:bCs w:val="0"/>
          <w:lang w:val="en-US"/>
        </w:rPr>
        <w:t>Edutopia (2025)</w:t>
      </w:r>
      <w:r w:rsidRPr="0049467E">
        <w:rPr>
          <w:lang w:val="en-US"/>
        </w:rPr>
        <w:t xml:space="preserve">. This will allow the work to reach both academic communities and practicing educators. The goal of this digital presence is not only to share knowledge but also to foster </w:t>
      </w:r>
      <w:r w:rsidRPr="0049467E">
        <w:rPr>
          <w:rStyle w:val="Textoennegrita"/>
          <w:rFonts w:eastAsiaTheme="majorEastAsia"/>
          <w:b w:val="0"/>
          <w:bCs w:val="0"/>
          <w:lang w:val="en-US"/>
        </w:rPr>
        <w:t xml:space="preserve">professional dialogue and </w:t>
      </w:r>
      <w:r w:rsidR="0049467E" w:rsidRPr="0049467E">
        <w:rPr>
          <w:rStyle w:val="Textoennegrita"/>
          <w:rFonts w:eastAsiaTheme="majorEastAsia"/>
          <w:b w:val="0"/>
          <w:bCs w:val="0"/>
          <w:lang w:val="en-US"/>
        </w:rPr>
        <w:t>build</w:t>
      </w:r>
      <w:r w:rsidRPr="0049467E">
        <w:rPr>
          <w:rStyle w:val="Textoennegrita"/>
          <w:rFonts w:eastAsiaTheme="majorEastAsia"/>
          <w:b w:val="0"/>
          <w:bCs w:val="0"/>
          <w:lang w:val="en-US"/>
        </w:rPr>
        <w:t xml:space="preserve"> collaborative networks</w:t>
      </w:r>
      <w:r w:rsidRPr="0049467E">
        <w:rPr>
          <w:lang w:val="en-US"/>
        </w:rPr>
        <w:t>.</w:t>
      </w:r>
    </w:p>
    <w:p w14:paraId="57BA307F" w14:textId="77777777" w:rsidR="00C764E8" w:rsidRPr="0049467E" w:rsidRDefault="00C764E8" w:rsidP="0049467E">
      <w:pPr>
        <w:pStyle w:val="NormalWeb"/>
        <w:ind w:firstLine="708"/>
        <w:rPr>
          <w:lang w:val="en-US"/>
        </w:rPr>
      </w:pPr>
      <w:r w:rsidRPr="0049467E">
        <w:rPr>
          <w:rStyle w:val="Textoennegrita"/>
          <w:rFonts w:eastAsiaTheme="majorEastAsia"/>
          <w:i/>
          <w:iCs/>
          <w:lang w:val="en-US"/>
        </w:rPr>
        <w:t>Message:</w:t>
      </w:r>
      <w:r w:rsidRPr="0049467E">
        <w:rPr>
          <w:lang w:val="en-US"/>
        </w:rPr>
        <w:t xml:space="preserve"> The central message is that </w:t>
      </w:r>
      <w:r w:rsidRPr="0049467E">
        <w:rPr>
          <w:rStyle w:val="Textoennegrita"/>
          <w:rFonts w:eastAsiaTheme="majorEastAsia"/>
          <w:b w:val="0"/>
          <w:bCs w:val="0"/>
          <w:lang w:val="en-US"/>
        </w:rPr>
        <w:t>hybrid learning in literacy is not only possible but also profoundly transformative</w:t>
      </w:r>
      <w:r w:rsidRPr="0049467E">
        <w:rPr>
          <w:lang w:val="en-US"/>
        </w:rPr>
        <w:t xml:space="preserve">. By combining digital tools with face-to-face instruction, teachers can design experiences that </w:t>
      </w:r>
      <w:r w:rsidRPr="0049467E">
        <w:rPr>
          <w:rStyle w:val="Textoennegrita"/>
          <w:rFonts w:eastAsiaTheme="majorEastAsia"/>
          <w:b w:val="0"/>
          <w:bCs w:val="0"/>
          <w:lang w:val="en-US"/>
        </w:rPr>
        <w:t>motivate, include, and empower students</w:t>
      </w:r>
      <w:r w:rsidRPr="0049467E">
        <w:rPr>
          <w:lang w:val="en-US"/>
        </w:rPr>
        <w:t xml:space="preserve"> to become confident readers and writers. More than a methodology, hybrid learning represents an opportunity to </w:t>
      </w:r>
      <w:r w:rsidRPr="0049467E">
        <w:rPr>
          <w:rStyle w:val="Textoennegrita"/>
          <w:rFonts w:eastAsiaTheme="majorEastAsia"/>
          <w:b w:val="0"/>
          <w:bCs w:val="0"/>
          <w:lang w:val="en-US"/>
        </w:rPr>
        <w:t>reimagine literacy instruction</w:t>
      </w:r>
      <w:r w:rsidRPr="0049467E">
        <w:rPr>
          <w:lang w:val="en-US"/>
        </w:rPr>
        <w:t xml:space="preserve"> and meet the demands of 21st-century education (Hughes &amp; Roblyer, 2022).</w:t>
      </w:r>
    </w:p>
    <w:p w14:paraId="7ADF30DB" w14:textId="77777777" w:rsidR="000E5F16" w:rsidRPr="0049467E" w:rsidRDefault="000E5F16" w:rsidP="003D024A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es-MX"/>
          <w14:ligatures w14:val="none"/>
        </w:rPr>
      </w:pPr>
    </w:p>
    <w:p w14:paraId="28680FE4" w14:textId="77777777" w:rsidR="000E5F16" w:rsidRPr="0049467E" w:rsidRDefault="000E5F16" w:rsidP="003D024A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es-MX"/>
          <w14:ligatures w14:val="none"/>
        </w:rPr>
      </w:pPr>
    </w:p>
    <w:p w14:paraId="71E85492" w14:textId="3EA70498" w:rsidR="00594898" w:rsidRPr="00594898" w:rsidRDefault="00594898" w:rsidP="003D024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lang w:val="en-US" w:eastAsia="es-MX"/>
          <w14:ligatures w14:val="none"/>
        </w:rPr>
      </w:pPr>
      <w:r w:rsidRPr="00594898">
        <w:rPr>
          <w:rFonts w:ascii="Times New Roman" w:eastAsia="Times New Roman" w:hAnsi="Times New Roman" w:cs="Times New Roman"/>
          <w:b/>
          <w:bCs/>
          <w:i/>
          <w:iCs/>
          <w:kern w:val="0"/>
          <w:lang w:val="en-US" w:eastAsia="es-MX"/>
          <w14:ligatures w14:val="none"/>
        </w:rPr>
        <w:t>References</w:t>
      </w:r>
    </w:p>
    <w:p w14:paraId="458D5094" w14:textId="77777777" w:rsidR="00F32964" w:rsidRDefault="00C764E8" w:rsidP="00F32964">
      <w:pPr>
        <w:pStyle w:val="NormalWeb"/>
        <w:rPr>
          <w:color w:val="000000" w:themeColor="text1"/>
          <w:lang w:val="en-US"/>
        </w:rPr>
      </w:pPr>
      <w:r w:rsidRPr="00F32964">
        <w:rPr>
          <w:color w:val="000000" w:themeColor="text1"/>
          <w:lang w:val="en-US"/>
        </w:rPr>
        <w:t xml:space="preserve">Edutopia. (2025). </w:t>
      </w:r>
      <w:r w:rsidRPr="00F32964">
        <w:rPr>
          <w:rStyle w:val="nfasis"/>
          <w:rFonts w:eastAsiaTheme="majorEastAsia"/>
          <w:color w:val="000000" w:themeColor="text1"/>
          <w:lang w:val="en-US"/>
        </w:rPr>
        <w:t>Technology integration</w:t>
      </w:r>
      <w:r w:rsidRPr="00F32964">
        <w:rPr>
          <w:color w:val="000000" w:themeColor="text1"/>
          <w:lang w:val="en-US"/>
        </w:rPr>
        <w:t xml:space="preserve">. George Lucas Educational Foundation. </w:t>
      </w:r>
    </w:p>
    <w:p w14:paraId="767CC33D" w14:textId="744CE8D6" w:rsidR="00C764E8" w:rsidRPr="00F32964" w:rsidRDefault="00C764E8" w:rsidP="00F32964">
      <w:pPr>
        <w:pStyle w:val="NormalWeb"/>
        <w:ind w:firstLine="708"/>
        <w:rPr>
          <w:color w:val="000000" w:themeColor="text1"/>
          <w:lang w:val="en-US"/>
        </w:rPr>
      </w:pPr>
      <w:r w:rsidRPr="00F32964">
        <w:rPr>
          <w:rFonts w:eastAsiaTheme="majorEastAsia"/>
          <w:color w:val="000000" w:themeColor="text1"/>
          <w:lang w:val="en-US"/>
        </w:rPr>
        <w:t>https://www.edutopia.org/technology-integration</w:t>
      </w:r>
    </w:p>
    <w:p w14:paraId="46BEAA57" w14:textId="77777777" w:rsidR="00F32964" w:rsidRDefault="00C764E8" w:rsidP="00F32964">
      <w:pPr>
        <w:pStyle w:val="NormalWeb"/>
        <w:rPr>
          <w:rFonts w:eastAsiaTheme="majorEastAsia"/>
          <w:i/>
          <w:iCs/>
          <w:lang w:val="en-US"/>
        </w:rPr>
      </w:pPr>
      <w:r w:rsidRPr="00F32964">
        <w:rPr>
          <w:rFonts w:eastAsiaTheme="majorEastAsia"/>
          <w:color w:val="000000" w:themeColor="text1"/>
          <w:lang w:val="en-US"/>
        </w:rPr>
        <w:t xml:space="preserve">EdTech Journals. (2025). </w:t>
      </w:r>
      <w:r w:rsidRPr="00F32964">
        <w:rPr>
          <w:rFonts w:eastAsiaTheme="majorEastAsia"/>
          <w:i/>
          <w:iCs/>
          <w:lang w:val="en-US"/>
        </w:rPr>
        <w:t xml:space="preserve">Complete list of educational technology </w:t>
      </w:r>
    </w:p>
    <w:p w14:paraId="2B5B057B" w14:textId="00228115" w:rsidR="00C764E8" w:rsidRPr="00F32964" w:rsidRDefault="00C764E8" w:rsidP="00F32964">
      <w:pPr>
        <w:pStyle w:val="NormalWeb"/>
        <w:ind w:firstLine="708"/>
        <w:rPr>
          <w:rFonts w:eastAsiaTheme="majorEastAsia"/>
          <w:color w:val="000000" w:themeColor="text1"/>
          <w:lang w:val="en-US"/>
        </w:rPr>
      </w:pPr>
      <w:proofErr w:type="spellStart"/>
      <w:r w:rsidRPr="00F32964">
        <w:rPr>
          <w:rFonts w:eastAsiaTheme="majorEastAsia"/>
          <w:i/>
          <w:iCs/>
          <w:color w:val="000000" w:themeColor="text1"/>
          <w:lang w:val="en-US"/>
        </w:rPr>
        <w:t>journals</w:t>
      </w:r>
      <w:r w:rsidRPr="00F32964">
        <w:rPr>
          <w:rFonts w:eastAsiaTheme="majorEastAsia"/>
          <w:color w:val="000000" w:themeColor="text1"/>
          <w:lang w:val="en-US"/>
        </w:rPr>
        <w:t>.</w:t>
      </w:r>
      <w:r w:rsidR="00F32964" w:rsidRPr="00F32964">
        <w:rPr>
          <w:rFonts w:eastAsiaTheme="majorEastAsia"/>
          <w:color w:val="000000" w:themeColor="text1"/>
          <w:lang w:val="en-US"/>
        </w:rPr>
        <w:fldChar w:fldCharType="begin"/>
      </w:r>
      <w:r w:rsidR="00F32964" w:rsidRPr="00F32964">
        <w:rPr>
          <w:rFonts w:eastAsiaTheme="majorEastAsia"/>
          <w:color w:val="000000" w:themeColor="text1"/>
          <w:lang w:val="en-US"/>
        </w:rPr>
        <w:instrText>HYPERLINK "</w:instrText>
      </w:r>
      <w:r w:rsidR="00F32964" w:rsidRPr="00F32964">
        <w:rPr>
          <w:rFonts w:eastAsiaTheme="majorEastAsia"/>
          <w:color w:val="000000" w:themeColor="text1"/>
          <w:lang w:val="en-US"/>
        </w:rPr>
        <w:instrText>https://www.edtechjournals.org/</w:instrText>
      </w:r>
      <w:r w:rsidR="00F32964" w:rsidRPr="00F32964">
        <w:rPr>
          <w:rFonts w:eastAsiaTheme="majorEastAsia"/>
          <w:color w:val="000000" w:themeColor="text1"/>
          <w:lang w:val="en-US"/>
        </w:rPr>
        <w:instrText>"</w:instrText>
      </w:r>
      <w:r w:rsidR="00F32964" w:rsidRPr="00F32964">
        <w:rPr>
          <w:rFonts w:eastAsiaTheme="majorEastAsia"/>
          <w:color w:val="000000" w:themeColor="text1"/>
          <w:lang w:val="en-US"/>
        </w:rPr>
        <w:fldChar w:fldCharType="separate"/>
      </w:r>
      <w:r w:rsidR="00F32964" w:rsidRPr="00F32964">
        <w:rPr>
          <w:rStyle w:val="Hipervnculo"/>
          <w:rFonts w:eastAsiaTheme="majorEastAsia"/>
          <w:color w:val="000000" w:themeColor="text1"/>
          <w:u w:val="none"/>
          <w:lang w:val="en-US"/>
        </w:rPr>
        <w:t>https</w:t>
      </w:r>
      <w:proofErr w:type="spellEnd"/>
      <w:r w:rsidR="00F32964" w:rsidRPr="00F32964">
        <w:rPr>
          <w:rStyle w:val="Hipervnculo"/>
          <w:rFonts w:eastAsiaTheme="majorEastAsia"/>
          <w:color w:val="000000" w:themeColor="text1"/>
          <w:u w:val="none"/>
          <w:lang w:val="en-US"/>
        </w:rPr>
        <w:t>://www.edtechjournals.org/</w:t>
      </w:r>
      <w:r w:rsidR="00F32964" w:rsidRPr="00F32964">
        <w:rPr>
          <w:rFonts w:eastAsiaTheme="majorEastAsia"/>
          <w:color w:val="000000" w:themeColor="text1"/>
          <w:lang w:val="en-US"/>
        </w:rPr>
        <w:fldChar w:fldCharType="end"/>
      </w:r>
    </w:p>
    <w:p w14:paraId="71F9949F" w14:textId="77777777" w:rsidR="00F32964" w:rsidRPr="00F32964" w:rsidRDefault="00C764E8" w:rsidP="00C764E8">
      <w:pPr>
        <w:pStyle w:val="NormalWeb"/>
        <w:rPr>
          <w:rFonts w:eastAsiaTheme="majorEastAsia"/>
          <w:color w:val="000000" w:themeColor="text1"/>
          <w:lang w:val="en-US"/>
        </w:rPr>
      </w:pPr>
      <w:r w:rsidRPr="00F32964">
        <w:rPr>
          <w:rFonts w:eastAsiaTheme="majorEastAsia"/>
          <w:color w:val="000000" w:themeColor="text1"/>
          <w:lang w:val="en-US"/>
        </w:rPr>
        <w:t xml:space="preserve">Hansen, P. (2013, January). </w:t>
      </w:r>
      <w:r w:rsidRPr="00F32964">
        <w:rPr>
          <w:rFonts w:eastAsiaTheme="majorEastAsia"/>
          <w:i/>
          <w:iCs/>
          <w:color w:val="000000" w:themeColor="text1"/>
          <w:lang w:val="en-US"/>
        </w:rPr>
        <w:t>Embrace the shake</w:t>
      </w:r>
      <w:r w:rsidRPr="00F32964">
        <w:rPr>
          <w:rFonts w:eastAsiaTheme="majorEastAsia"/>
          <w:color w:val="000000" w:themeColor="text1"/>
          <w:lang w:val="en-US"/>
        </w:rPr>
        <w:t xml:space="preserve"> [Video]. TED Conferences. </w:t>
      </w:r>
    </w:p>
    <w:p w14:paraId="5DEDFF25" w14:textId="1B99AFCA" w:rsidR="00C764E8" w:rsidRPr="00F32964" w:rsidRDefault="00C764E8" w:rsidP="00F32964">
      <w:pPr>
        <w:pStyle w:val="NormalWeb"/>
        <w:ind w:firstLine="708"/>
        <w:rPr>
          <w:rFonts w:eastAsiaTheme="majorEastAsia"/>
          <w:color w:val="000000" w:themeColor="text1"/>
          <w:lang w:val="en-US"/>
        </w:rPr>
      </w:pPr>
      <w:r w:rsidRPr="00F32964">
        <w:rPr>
          <w:rFonts w:eastAsiaTheme="majorEastAsia"/>
          <w:color w:val="000000" w:themeColor="text1"/>
          <w:lang w:val="en-US"/>
        </w:rPr>
        <w:t>https://www.ted.com/talks/phil_hansen_embrace_the_shake</w:t>
      </w:r>
    </w:p>
    <w:p w14:paraId="1A572DE5" w14:textId="77777777" w:rsidR="00F32964" w:rsidRPr="00F32964" w:rsidRDefault="00C764E8" w:rsidP="00C764E8">
      <w:pPr>
        <w:pStyle w:val="NormalWeb"/>
        <w:rPr>
          <w:rFonts w:eastAsiaTheme="majorEastAsia"/>
          <w:i/>
          <w:iCs/>
          <w:color w:val="000000" w:themeColor="text1"/>
          <w:lang w:val="en-US"/>
        </w:rPr>
      </w:pPr>
      <w:r w:rsidRPr="00F32964">
        <w:rPr>
          <w:rFonts w:eastAsiaTheme="majorEastAsia"/>
          <w:color w:val="000000" w:themeColor="text1"/>
          <w:lang w:val="en-US"/>
        </w:rPr>
        <w:t xml:space="preserve">Hughes, J. E., &amp; Roblyer, M. D. (2022). </w:t>
      </w:r>
      <w:r w:rsidRPr="00F32964">
        <w:rPr>
          <w:rFonts w:eastAsiaTheme="majorEastAsia"/>
          <w:i/>
          <w:iCs/>
          <w:color w:val="000000" w:themeColor="text1"/>
          <w:lang w:val="en-US"/>
        </w:rPr>
        <w:t xml:space="preserve">Integrating educational technology into teaching: </w:t>
      </w:r>
    </w:p>
    <w:p w14:paraId="0E6228E1" w14:textId="0EC79977" w:rsidR="00C764E8" w:rsidRPr="00F32964" w:rsidRDefault="00C764E8" w:rsidP="00F32964">
      <w:pPr>
        <w:pStyle w:val="NormalWeb"/>
        <w:ind w:firstLine="708"/>
        <w:rPr>
          <w:rFonts w:eastAsiaTheme="majorEastAsia"/>
          <w:color w:val="000000" w:themeColor="text1"/>
          <w:lang w:val="en-US"/>
        </w:rPr>
      </w:pPr>
      <w:r w:rsidRPr="00F32964">
        <w:rPr>
          <w:rFonts w:eastAsiaTheme="majorEastAsia"/>
          <w:i/>
          <w:iCs/>
          <w:color w:val="000000" w:themeColor="text1"/>
          <w:lang w:val="en-US"/>
        </w:rPr>
        <w:t>Transforming learning across disciplines</w:t>
      </w:r>
      <w:r w:rsidRPr="00F32964">
        <w:rPr>
          <w:rFonts w:eastAsiaTheme="majorEastAsia"/>
          <w:color w:val="000000" w:themeColor="text1"/>
          <w:lang w:val="en-US"/>
        </w:rPr>
        <w:t xml:space="preserve"> (9th ed.). Pearson.</w:t>
      </w:r>
    </w:p>
    <w:p w14:paraId="2B8C49A5" w14:textId="77777777" w:rsidR="00F32964" w:rsidRPr="00F32964" w:rsidRDefault="00C764E8" w:rsidP="00F32964">
      <w:pPr>
        <w:pStyle w:val="NormalWeb"/>
        <w:rPr>
          <w:rFonts w:eastAsiaTheme="majorEastAsia"/>
          <w:color w:val="000000" w:themeColor="text1"/>
          <w:lang w:val="en-US"/>
        </w:rPr>
      </w:pPr>
      <w:r w:rsidRPr="00F32964">
        <w:rPr>
          <w:rFonts w:eastAsiaTheme="majorEastAsia"/>
          <w:color w:val="000000" w:themeColor="text1"/>
          <w:lang w:val="en-US"/>
        </w:rPr>
        <w:lastRenderedPageBreak/>
        <w:t xml:space="preserve">Lowenthal, P. R. (2015, December 29). </w:t>
      </w:r>
      <w:r w:rsidRPr="00F32964">
        <w:rPr>
          <w:rFonts w:eastAsiaTheme="majorEastAsia"/>
          <w:i/>
          <w:iCs/>
          <w:color w:val="000000" w:themeColor="text1"/>
          <w:lang w:val="en-US"/>
        </w:rPr>
        <w:t>Ranking educational technology journals</w:t>
      </w:r>
      <w:r w:rsidRPr="00F32964">
        <w:rPr>
          <w:rFonts w:eastAsiaTheme="majorEastAsia"/>
          <w:color w:val="000000" w:themeColor="text1"/>
          <w:lang w:val="en-US"/>
        </w:rPr>
        <w:t xml:space="preserve">. </w:t>
      </w:r>
    </w:p>
    <w:p w14:paraId="66C6EB92" w14:textId="54C1D81A" w:rsidR="00C764E8" w:rsidRPr="00F32964" w:rsidRDefault="00C764E8" w:rsidP="00F32964">
      <w:pPr>
        <w:pStyle w:val="NormalWeb"/>
        <w:ind w:firstLine="708"/>
        <w:rPr>
          <w:rFonts w:eastAsiaTheme="majorEastAsia"/>
          <w:color w:val="000000" w:themeColor="text1"/>
          <w:lang w:val="en-US"/>
        </w:rPr>
      </w:pPr>
      <w:hyperlink r:id="rId16" w:tgtFrame="_new" w:history="1">
        <w:r w:rsidRPr="00F32964">
          <w:rPr>
            <w:rFonts w:eastAsiaTheme="majorEastAsia"/>
            <w:color w:val="000000" w:themeColor="text1"/>
            <w:lang w:val="en-US"/>
          </w:rPr>
          <w:t>https://patricklowenthal.com/2015/12/ranking-educational-technology-journals/</w:t>
        </w:r>
      </w:hyperlink>
    </w:p>
    <w:p w14:paraId="40570203" w14:textId="77777777" w:rsidR="00F32964" w:rsidRPr="00F32964" w:rsidRDefault="00C764E8" w:rsidP="00C764E8">
      <w:pPr>
        <w:pStyle w:val="NormalWeb"/>
        <w:rPr>
          <w:rFonts w:eastAsiaTheme="majorEastAsia"/>
          <w:color w:val="000000" w:themeColor="text1"/>
          <w:lang w:val="en-US"/>
        </w:rPr>
      </w:pPr>
      <w:r w:rsidRPr="00F32964">
        <w:rPr>
          <w:rFonts w:eastAsiaTheme="majorEastAsia"/>
          <w:color w:val="000000" w:themeColor="text1"/>
          <w:lang w:val="en-US"/>
        </w:rPr>
        <w:t xml:space="preserve">Taylor &amp; Francis Author Services. (2023). </w:t>
      </w:r>
      <w:r w:rsidRPr="00F32964">
        <w:rPr>
          <w:rFonts w:eastAsiaTheme="majorEastAsia"/>
          <w:i/>
          <w:iCs/>
          <w:color w:val="000000" w:themeColor="text1"/>
          <w:lang w:val="en-US"/>
        </w:rPr>
        <w:t>How to write and structure a journal article</w:t>
      </w:r>
      <w:r w:rsidRPr="00F32964">
        <w:rPr>
          <w:rFonts w:eastAsiaTheme="majorEastAsia"/>
          <w:color w:val="000000" w:themeColor="text1"/>
          <w:lang w:val="en-US"/>
        </w:rPr>
        <w:t>.</w:t>
      </w:r>
      <w:r w:rsidR="00F32964" w:rsidRPr="00F32964">
        <w:rPr>
          <w:rFonts w:eastAsiaTheme="majorEastAsia"/>
          <w:color w:val="000000" w:themeColor="text1"/>
          <w:lang w:val="en-US"/>
        </w:rPr>
        <w:t xml:space="preserve"> </w:t>
      </w:r>
    </w:p>
    <w:p w14:paraId="784823D7" w14:textId="297D8648" w:rsidR="00C764E8" w:rsidRPr="00F32964" w:rsidRDefault="00F32964" w:rsidP="00F32964">
      <w:pPr>
        <w:pStyle w:val="NormalWeb"/>
        <w:ind w:left="708"/>
        <w:rPr>
          <w:rFonts w:eastAsiaTheme="majorEastAsia"/>
          <w:color w:val="000000" w:themeColor="text1"/>
          <w:lang w:val="en-US"/>
        </w:rPr>
      </w:pPr>
      <w:hyperlink r:id="rId17" w:history="1">
        <w:r w:rsidRPr="00F32964">
          <w:rPr>
            <w:rStyle w:val="Hipervnculo"/>
            <w:rFonts w:eastAsiaTheme="majorEastAsia"/>
            <w:color w:val="000000" w:themeColor="text1"/>
            <w:u w:val="none"/>
            <w:lang w:val="en-US"/>
          </w:rPr>
          <w:t>https://authorservices.taylorandfrancis.com/how-to-write-and-structure-a-journal-</w:t>
        </w:r>
      </w:hyperlink>
      <w:r w:rsidR="00C764E8" w:rsidRPr="00F32964">
        <w:rPr>
          <w:rFonts w:eastAsiaTheme="majorEastAsia"/>
          <w:color w:val="000000" w:themeColor="text1"/>
          <w:lang w:val="en-US"/>
        </w:rPr>
        <w:t>article/</w:t>
      </w:r>
    </w:p>
    <w:p w14:paraId="113E8B59" w14:textId="77777777" w:rsidR="005D19FF" w:rsidRPr="00F32964" w:rsidRDefault="005D19FF" w:rsidP="00C764E8">
      <w:pPr>
        <w:pStyle w:val="NormalWeb"/>
        <w:rPr>
          <w:rFonts w:eastAsiaTheme="majorEastAsia"/>
          <w:color w:val="000000" w:themeColor="text1"/>
          <w:lang w:val="en-US"/>
        </w:rPr>
      </w:pPr>
    </w:p>
    <w:sectPr w:rsidR="005D19FF" w:rsidRPr="00F32964" w:rsidSect="00BD597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0B4E"/>
    <w:multiLevelType w:val="multilevel"/>
    <w:tmpl w:val="D3B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145CE"/>
    <w:multiLevelType w:val="multilevel"/>
    <w:tmpl w:val="6862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C3E22"/>
    <w:multiLevelType w:val="multilevel"/>
    <w:tmpl w:val="D9426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9A008C"/>
    <w:multiLevelType w:val="multilevel"/>
    <w:tmpl w:val="639C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EE6B8E"/>
    <w:multiLevelType w:val="multilevel"/>
    <w:tmpl w:val="CAAE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ED72F0"/>
    <w:multiLevelType w:val="multilevel"/>
    <w:tmpl w:val="8520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11501F"/>
    <w:multiLevelType w:val="multilevel"/>
    <w:tmpl w:val="EB14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FD53DE"/>
    <w:multiLevelType w:val="multilevel"/>
    <w:tmpl w:val="605E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1D2419"/>
    <w:multiLevelType w:val="multilevel"/>
    <w:tmpl w:val="05D4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645625"/>
    <w:multiLevelType w:val="multilevel"/>
    <w:tmpl w:val="34EA5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1B70CE"/>
    <w:multiLevelType w:val="hybridMultilevel"/>
    <w:tmpl w:val="C890E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610B1"/>
    <w:multiLevelType w:val="multilevel"/>
    <w:tmpl w:val="F55C5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775B3C"/>
    <w:multiLevelType w:val="multilevel"/>
    <w:tmpl w:val="C966F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515654"/>
    <w:multiLevelType w:val="multilevel"/>
    <w:tmpl w:val="2282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3453525">
    <w:abstractNumId w:val="11"/>
  </w:num>
  <w:num w:numId="2" w16cid:durableId="1436946492">
    <w:abstractNumId w:val="9"/>
  </w:num>
  <w:num w:numId="3" w16cid:durableId="187377411">
    <w:abstractNumId w:val="8"/>
  </w:num>
  <w:num w:numId="4" w16cid:durableId="1899052794">
    <w:abstractNumId w:val="2"/>
  </w:num>
  <w:num w:numId="5" w16cid:durableId="872764638">
    <w:abstractNumId w:val="7"/>
  </w:num>
  <w:num w:numId="6" w16cid:durableId="2111005617">
    <w:abstractNumId w:val="12"/>
  </w:num>
  <w:num w:numId="7" w16cid:durableId="815875071">
    <w:abstractNumId w:val="3"/>
  </w:num>
  <w:num w:numId="8" w16cid:durableId="277493784">
    <w:abstractNumId w:val="6"/>
  </w:num>
  <w:num w:numId="9" w16cid:durableId="1173684776">
    <w:abstractNumId w:val="5"/>
  </w:num>
  <w:num w:numId="10" w16cid:durableId="1706516904">
    <w:abstractNumId w:val="13"/>
  </w:num>
  <w:num w:numId="11" w16cid:durableId="226184044">
    <w:abstractNumId w:val="1"/>
  </w:num>
  <w:num w:numId="12" w16cid:durableId="1117068113">
    <w:abstractNumId w:val="4"/>
  </w:num>
  <w:num w:numId="13" w16cid:durableId="721055736">
    <w:abstractNumId w:val="10"/>
  </w:num>
  <w:num w:numId="14" w16cid:durableId="1574462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FF"/>
    <w:rsid w:val="000050E6"/>
    <w:rsid w:val="000E5F16"/>
    <w:rsid w:val="000F3B77"/>
    <w:rsid w:val="0010042C"/>
    <w:rsid w:val="001E1087"/>
    <w:rsid w:val="00240C3F"/>
    <w:rsid w:val="002929F5"/>
    <w:rsid w:val="003202C1"/>
    <w:rsid w:val="003D024A"/>
    <w:rsid w:val="003E29A4"/>
    <w:rsid w:val="0049467E"/>
    <w:rsid w:val="00533EC9"/>
    <w:rsid w:val="00594898"/>
    <w:rsid w:val="005D19FF"/>
    <w:rsid w:val="00741CC7"/>
    <w:rsid w:val="007632D0"/>
    <w:rsid w:val="008A27BD"/>
    <w:rsid w:val="00BD5970"/>
    <w:rsid w:val="00BF3A78"/>
    <w:rsid w:val="00C20970"/>
    <w:rsid w:val="00C764E8"/>
    <w:rsid w:val="00D25A0B"/>
    <w:rsid w:val="00F3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F296E"/>
  <w15:chartTrackingRefBased/>
  <w15:docId w15:val="{A8505E99-07D6-BD44-B292-FF4CB16F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D19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D1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D19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D19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D19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D19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D19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D19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D19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D19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5D19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5D19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D19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D19F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D19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D19F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D19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D19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D19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D1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D19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D1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D1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D19F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D19F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D19F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D19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D19F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D19FF"/>
    <w:rPr>
      <w:b/>
      <w:bCs/>
      <w:smallCaps/>
      <w:color w:val="0F4761" w:themeColor="accent1" w:themeShade="BF"/>
      <w:spacing w:val="5"/>
    </w:rPr>
  </w:style>
  <w:style w:type="character" w:styleId="Textoennegrita">
    <w:name w:val="Strong"/>
    <w:basedOn w:val="Fuentedeprrafopredeter"/>
    <w:uiPriority w:val="22"/>
    <w:qFormat/>
    <w:rsid w:val="005D19FF"/>
    <w:rPr>
      <w:b/>
      <w:bCs/>
    </w:rPr>
  </w:style>
  <w:style w:type="character" w:styleId="nfasis">
    <w:name w:val="Emphasis"/>
    <w:basedOn w:val="Fuentedeprrafopredeter"/>
    <w:uiPriority w:val="20"/>
    <w:qFormat/>
    <w:rsid w:val="005D19FF"/>
    <w:rPr>
      <w:i/>
      <w:iCs/>
    </w:rPr>
  </w:style>
  <w:style w:type="paragraph" w:styleId="NormalWeb">
    <w:name w:val="Normal (Web)"/>
    <w:basedOn w:val="Normal"/>
    <w:uiPriority w:val="99"/>
    <w:unhideWhenUsed/>
    <w:rsid w:val="005D1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Hipervnculo">
    <w:name w:val="Hyperlink"/>
    <w:basedOn w:val="Fuentedeprrafopredeter"/>
    <w:uiPriority w:val="99"/>
    <w:unhideWhenUsed/>
    <w:rsid w:val="005D19F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32964"/>
    <w:rPr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2964"/>
    <w:rPr>
      <w:color w:val="605E5C"/>
      <w:shd w:val="clear" w:color="auto" w:fill="E1DFDD"/>
    </w:rPr>
  </w:style>
  <w:style w:type="table" w:styleId="Tablaconcuadrcula1clara-nfasis4">
    <w:name w:val="Grid Table 1 Light Accent 4"/>
    <w:basedOn w:val="Tablanormal"/>
    <w:uiPriority w:val="46"/>
    <w:rsid w:val="00BD5970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BD5970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7concolores-nfasis1">
    <w:name w:val="Grid Table 7 Colorful Accent 1"/>
    <w:basedOn w:val="Tablanormal"/>
    <w:uiPriority w:val="52"/>
    <w:rsid w:val="00BD5970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BD5970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Tablaconcuadrcula">
    <w:name w:val="Table Grid"/>
    <w:basedOn w:val="Tablanormal"/>
    <w:uiPriority w:val="39"/>
    <w:rsid w:val="00D25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authorservices.taylorandfrancis.com/how-to-write-and-structure-a-journal-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tricklowenthal.com/2015/12/ranking-educational-technology-journals/?utm_source=chatgpt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1492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 Correa</dc:creator>
  <cp:keywords/>
  <dc:description/>
  <cp:lastModifiedBy>Paula A Correa</cp:lastModifiedBy>
  <cp:revision>5</cp:revision>
  <dcterms:created xsi:type="dcterms:W3CDTF">2025-08-30T23:57:00Z</dcterms:created>
  <dcterms:modified xsi:type="dcterms:W3CDTF">2025-09-01T01:22:00Z</dcterms:modified>
</cp:coreProperties>
</file>