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AD99" w14:textId="77777777" w:rsidR="00D85B4E" w:rsidRDefault="00D85B4E" w:rsidP="00D85B4E">
      <w:pPr>
        <w:pStyle w:val="Ttulo3"/>
        <w:rPr>
          <w:rStyle w:val="Textoennegrita"/>
          <w:rFonts w:ascii="Arial" w:hAnsi="Arial" w:cs="Arial"/>
          <w:color w:val="1DBCC5"/>
          <w:sz w:val="36"/>
          <w:szCs w:val="36"/>
          <w:lang w:val="en-US"/>
        </w:rPr>
      </w:pPr>
    </w:p>
    <w:p w14:paraId="48176590" w14:textId="2D0F13DC" w:rsidR="00D85B4E" w:rsidRPr="00D85B4E" w:rsidRDefault="00D85B4E" w:rsidP="00D85B4E">
      <w:pPr>
        <w:pStyle w:val="Ttulo3"/>
        <w:rPr>
          <w:rFonts w:ascii="Arial" w:hAnsi="Arial" w:cs="Arial"/>
          <w:color w:val="1DBCC5"/>
          <w:sz w:val="36"/>
          <w:szCs w:val="36"/>
          <w:lang w:val="en-US"/>
        </w:rPr>
      </w:pPr>
      <w:r w:rsidRPr="00D85B4E">
        <w:rPr>
          <w:rStyle w:val="Textoennegrita"/>
          <w:rFonts w:ascii="Arial" w:hAnsi="Arial" w:cs="Arial"/>
          <w:color w:val="1DBCC5"/>
          <w:sz w:val="36"/>
          <w:szCs w:val="36"/>
          <w:lang w:val="en-US"/>
        </w:rPr>
        <w:t>Measurable Results</w:t>
      </w:r>
    </w:p>
    <w:p w14:paraId="44A01F00" w14:textId="77777777" w:rsidR="00D85B4E" w:rsidRPr="00D85B4E" w:rsidRDefault="00D85B4E" w:rsidP="00D85B4E">
      <w:pPr>
        <w:spacing w:before="100" w:beforeAutospacing="1" w:after="100" w:afterAutospacing="1"/>
        <w:rPr>
          <w:rFonts w:ascii="Arial" w:hAnsi="Arial" w:cs="Arial"/>
          <w:color w:val="1DBCC5"/>
          <w:lang w:val="en-US"/>
        </w:rPr>
      </w:pPr>
      <w:r w:rsidRPr="00D85B4E">
        <w:rPr>
          <w:rFonts w:ascii="Arial" w:hAnsi="Arial" w:cs="Arial"/>
          <w:color w:val="1DBCC5"/>
          <w:lang w:val="en-US"/>
        </w:rPr>
        <w:t xml:space="preserve">The expected outcomes of this strategy include increased student engagement, improved reading and writing comprehension, and the reduction of learning gaps, especially among neurodivergent students. These will be measured through the following key performance indicators (KPIs): </w:t>
      </w:r>
    </w:p>
    <w:tbl>
      <w:tblPr>
        <w:tblStyle w:val="Tablaconcuadrcula1clara-nfasis5"/>
        <w:tblW w:w="14305" w:type="dxa"/>
        <w:tblLook w:val="04A0" w:firstRow="1" w:lastRow="0" w:firstColumn="1" w:lastColumn="0" w:noHBand="0" w:noVBand="1"/>
      </w:tblPr>
      <w:tblGrid>
        <w:gridCol w:w="1724"/>
        <w:gridCol w:w="1857"/>
        <w:gridCol w:w="7574"/>
        <w:gridCol w:w="3150"/>
      </w:tblGrid>
      <w:tr w:rsidR="00D85B4E" w:rsidRPr="00257DBE" w14:paraId="43D0630C" w14:textId="77777777" w:rsidTr="00D85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1DBCC5"/>
          </w:tcPr>
          <w:p w14:paraId="72D5A0A0" w14:textId="77777777" w:rsidR="00D85B4E" w:rsidRPr="00257DBE" w:rsidRDefault="00D85B4E" w:rsidP="002E4ECA">
            <w:pPr>
              <w:jc w:val="center"/>
              <w:rPr>
                <w:rFonts w:ascii="Arial" w:hAnsi="Arial" w:cs="Arial"/>
                <w:color w:val="FFFFFF" w:themeColor="background1"/>
              </w:rPr>
            </w:pPr>
            <w:r w:rsidRPr="00257DBE">
              <w:rPr>
                <w:rFonts w:ascii="Arial" w:hAnsi="Arial" w:cs="Arial"/>
                <w:color w:val="FFFFFF" w:themeColor="background1"/>
              </w:rPr>
              <w:t>Indicator Name</w:t>
            </w:r>
          </w:p>
        </w:tc>
        <w:tc>
          <w:tcPr>
            <w:tcW w:w="1857" w:type="dxa"/>
            <w:shd w:val="clear" w:color="auto" w:fill="1DBCC5"/>
          </w:tcPr>
          <w:p w14:paraId="08801815" w14:textId="77777777" w:rsidR="00D85B4E" w:rsidRPr="00257DBE" w:rsidRDefault="00D85B4E" w:rsidP="002E4E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57DBE">
              <w:rPr>
                <w:rFonts w:ascii="Arial" w:hAnsi="Arial" w:cs="Arial"/>
                <w:color w:val="FFFFFF" w:themeColor="background1"/>
              </w:rPr>
              <w:t>Objective</w:t>
            </w:r>
          </w:p>
        </w:tc>
        <w:tc>
          <w:tcPr>
            <w:tcW w:w="7574" w:type="dxa"/>
            <w:shd w:val="clear" w:color="auto" w:fill="1DBCC5"/>
          </w:tcPr>
          <w:p w14:paraId="35289E25" w14:textId="77777777" w:rsidR="00D85B4E" w:rsidRPr="00257DBE" w:rsidRDefault="00D85B4E" w:rsidP="002E4E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57DBE">
              <w:rPr>
                <w:rFonts w:ascii="Arial" w:hAnsi="Arial" w:cs="Arial"/>
                <w:color w:val="FFFFFF" w:themeColor="background1"/>
              </w:rPr>
              <w:t>Indicator Description</w:t>
            </w:r>
          </w:p>
        </w:tc>
        <w:tc>
          <w:tcPr>
            <w:tcW w:w="3150" w:type="dxa"/>
            <w:shd w:val="clear" w:color="auto" w:fill="1DBCC5"/>
          </w:tcPr>
          <w:p w14:paraId="7247B3FA" w14:textId="77777777" w:rsidR="00D85B4E" w:rsidRPr="00257DBE" w:rsidRDefault="00D85B4E" w:rsidP="002E4E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57DBE">
              <w:rPr>
                <w:rFonts w:ascii="Arial" w:hAnsi="Arial" w:cs="Arial"/>
                <w:color w:val="FFFFFF" w:themeColor="background1"/>
              </w:rPr>
              <w:t>Target</w:t>
            </w:r>
          </w:p>
        </w:tc>
      </w:tr>
      <w:tr w:rsidR="00D85B4E" w:rsidRPr="00257DBE" w14:paraId="26D3C99D" w14:textId="77777777" w:rsidTr="00D85B4E">
        <w:tc>
          <w:tcPr>
            <w:cnfStyle w:val="001000000000" w:firstRow="0" w:lastRow="0" w:firstColumn="1" w:lastColumn="0" w:oddVBand="0" w:evenVBand="0" w:oddHBand="0" w:evenHBand="0" w:firstRowFirstColumn="0" w:firstRowLastColumn="0" w:lastRowFirstColumn="0" w:lastRowLastColumn="0"/>
            <w:tcW w:w="1724" w:type="dxa"/>
          </w:tcPr>
          <w:p w14:paraId="2C74AC7C" w14:textId="77777777" w:rsidR="00D85B4E" w:rsidRPr="00257DBE" w:rsidRDefault="00D85B4E" w:rsidP="002E4ECA">
            <w:pPr>
              <w:rPr>
                <w:rFonts w:ascii="Arial" w:hAnsi="Arial" w:cs="Arial"/>
                <w:color w:val="1DBCC5"/>
              </w:rPr>
            </w:pPr>
            <w:r w:rsidRPr="00257DBE">
              <w:rPr>
                <w:rFonts w:ascii="Arial" w:hAnsi="Arial" w:cs="Arial"/>
                <w:color w:val="1DBCC5"/>
              </w:rPr>
              <w:t>Literacy Growth</w:t>
            </w:r>
          </w:p>
        </w:tc>
        <w:tc>
          <w:tcPr>
            <w:tcW w:w="1857" w:type="dxa"/>
          </w:tcPr>
          <w:p w14:paraId="1309E4D2"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Pr>
                <w:rFonts w:ascii="Arial" w:hAnsi="Arial" w:cs="Arial"/>
                <w:color w:val="7F7F7F" w:themeColor="text1" w:themeTint="80"/>
              </w:rPr>
              <w:t>I</w:t>
            </w:r>
            <w:r w:rsidRPr="00257DBE">
              <w:rPr>
                <w:rFonts w:ascii="Arial" w:hAnsi="Arial" w:cs="Arial"/>
                <w:color w:val="7F7F7F" w:themeColor="text1" w:themeTint="80"/>
              </w:rPr>
              <w:t>ncrease in reading comprehension scores</w:t>
            </w:r>
          </w:p>
        </w:tc>
        <w:tc>
          <w:tcPr>
            <w:tcW w:w="7574" w:type="dxa"/>
          </w:tcPr>
          <w:p w14:paraId="7D9C029C"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 xml:space="preserve">Assessed through standardized reading comprehension tests before and after implementation. This can be tracked using pre- and post-program assessments, comparing student progress in areas such as fluency, comprehension, and writing skills using tools like </w:t>
            </w:r>
            <w:r w:rsidRPr="00257DBE">
              <w:rPr>
                <w:rStyle w:val="Textoennegrita"/>
                <w:rFonts w:ascii="Arial" w:eastAsiaTheme="majorEastAsia" w:hAnsi="Arial" w:cs="Arial"/>
                <w:b w:val="0"/>
                <w:bCs w:val="0"/>
                <w:color w:val="7F7F7F" w:themeColor="text1" w:themeTint="80"/>
              </w:rPr>
              <w:t>iReady</w:t>
            </w:r>
            <w:r w:rsidRPr="00257DBE">
              <w:rPr>
                <w:rFonts w:ascii="Arial" w:hAnsi="Arial" w:cs="Arial"/>
                <w:color w:val="7F7F7F" w:themeColor="text1" w:themeTint="80"/>
              </w:rPr>
              <w:t xml:space="preserve">, </w:t>
            </w:r>
            <w:r w:rsidRPr="00257DBE">
              <w:rPr>
                <w:rStyle w:val="Textoennegrita"/>
                <w:rFonts w:ascii="Arial" w:eastAsiaTheme="majorEastAsia" w:hAnsi="Arial" w:cs="Arial"/>
                <w:b w:val="0"/>
                <w:bCs w:val="0"/>
                <w:color w:val="7F7F7F" w:themeColor="text1" w:themeTint="80"/>
              </w:rPr>
              <w:t>Amplify</w:t>
            </w:r>
            <w:r w:rsidRPr="00257DBE">
              <w:rPr>
                <w:rFonts w:ascii="Arial" w:hAnsi="Arial" w:cs="Arial"/>
                <w:color w:val="7F7F7F" w:themeColor="text1" w:themeTint="80"/>
              </w:rPr>
              <w:t xml:space="preserve">, </w:t>
            </w:r>
            <w:r w:rsidRPr="00257DBE">
              <w:rPr>
                <w:rStyle w:val="Textoennegrita"/>
                <w:rFonts w:ascii="Arial" w:eastAsiaTheme="majorEastAsia" w:hAnsi="Arial" w:cs="Arial"/>
                <w:b w:val="0"/>
                <w:bCs w:val="0"/>
                <w:color w:val="7F7F7F" w:themeColor="text1" w:themeTint="80"/>
              </w:rPr>
              <w:t>Kahoot</w:t>
            </w:r>
            <w:r w:rsidRPr="00257DBE">
              <w:rPr>
                <w:rFonts w:ascii="Arial" w:hAnsi="Arial" w:cs="Arial"/>
                <w:color w:val="7F7F7F" w:themeColor="text1" w:themeTint="80"/>
              </w:rPr>
              <w:t>.</w:t>
            </w:r>
          </w:p>
        </w:tc>
        <w:tc>
          <w:tcPr>
            <w:tcW w:w="3150" w:type="dxa"/>
          </w:tcPr>
          <w:p w14:paraId="651D0EF5"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Achieve a 15% increase in reading comprehension scores by the end of the academic year.</w:t>
            </w:r>
          </w:p>
        </w:tc>
      </w:tr>
      <w:tr w:rsidR="00D85B4E" w:rsidRPr="00257DBE" w14:paraId="35FD4F90" w14:textId="77777777" w:rsidTr="00D85B4E">
        <w:tc>
          <w:tcPr>
            <w:cnfStyle w:val="001000000000" w:firstRow="0" w:lastRow="0" w:firstColumn="1" w:lastColumn="0" w:oddVBand="0" w:evenVBand="0" w:oddHBand="0" w:evenHBand="0" w:firstRowFirstColumn="0" w:firstRowLastColumn="0" w:lastRowFirstColumn="0" w:lastRowLastColumn="0"/>
            <w:tcW w:w="1724" w:type="dxa"/>
          </w:tcPr>
          <w:p w14:paraId="25EA4223" w14:textId="77777777" w:rsidR="00D85B4E" w:rsidRPr="00257DBE" w:rsidRDefault="00D85B4E" w:rsidP="002E4ECA">
            <w:pPr>
              <w:rPr>
                <w:rFonts w:ascii="Arial" w:hAnsi="Arial" w:cs="Arial"/>
                <w:color w:val="1DBCC5"/>
              </w:rPr>
            </w:pPr>
            <w:r w:rsidRPr="00257DBE">
              <w:rPr>
                <w:rFonts w:ascii="Arial" w:hAnsi="Arial" w:cs="Arial"/>
                <w:color w:val="1DBCC5"/>
              </w:rPr>
              <w:t>Technology Adoption Rate</w:t>
            </w:r>
          </w:p>
        </w:tc>
        <w:tc>
          <w:tcPr>
            <w:tcW w:w="1857" w:type="dxa"/>
          </w:tcPr>
          <w:p w14:paraId="26F7F1BD"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Pr>
                <w:rFonts w:ascii="Arial" w:hAnsi="Arial" w:cs="Arial"/>
                <w:color w:val="7F7F7F" w:themeColor="text1" w:themeTint="80"/>
              </w:rPr>
              <w:t>A</w:t>
            </w:r>
            <w:r w:rsidRPr="00257DBE">
              <w:rPr>
                <w:rFonts w:ascii="Arial" w:hAnsi="Arial" w:cs="Arial"/>
                <w:color w:val="7F7F7F" w:themeColor="text1" w:themeTint="80"/>
              </w:rPr>
              <w:t>doption of hybrid learning tools</w:t>
            </w:r>
          </w:p>
        </w:tc>
        <w:tc>
          <w:tcPr>
            <w:tcW w:w="7574" w:type="dxa"/>
          </w:tcPr>
          <w:p w14:paraId="11019BE8" w14:textId="77777777" w:rsidR="00D85B4E" w:rsidRPr="00257DBE" w:rsidRDefault="00D85B4E" w:rsidP="002E4EC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 xml:space="preserve">Measured by the percentage of students and teachers actively using blended learning platforms. To track this, platform analytics tools like </w:t>
            </w:r>
            <w:r w:rsidRPr="00257DBE">
              <w:rPr>
                <w:rStyle w:val="Textoennegrita"/>
                <w:rFonts w:ascii="Arial" w:eastAsiaTheme="majorEastAsia" w:hAnsi="Arial" w:cs="Arial"/>
                <w:b w:val="0"/>
                <w:bCs w:val="0"/>
                <w:color w:val="7F7F7F" w:themeColor="text1" w:themeTint="80"/>
              </w:rPr>
              <w:t>Kahoot</w:t>
            </w:r>
            <w:r w:rsidRPr="00257DBE">
              <w:rPr>
                <w:rFonts w:ascii="Arial" w:hAnsi="Arial" w:cs="Arial"/>
                <w:color w:val="7F7F7F" w:themeColor="text1" w:themeTint="80"/>
              </w:rPr>
              <w:t xml:space="preserve">, </w:t>
            </w:r>
            <w:r w:rsidRPr="00257DBE">
              <w:rPr>
                <w:rStyle w:val="Textoennegrita"/>
                <w:rFonts w:ascii="Arial" w:eastAsiaTheme="majorEastAsia" w:hAnsi="Arial" w:cs="Arial"/>
                <w:b w:val="0"/>
                <w:bCs w:val="0"/>
                <w:color w:val="7F7F7F" w:themeColor="text1" w:themeTint="80"/>
              </w:rPr>
              <w:t>HMH</w:t>
            </w:r>
            <w:r w:rsidRPr="00257DBE">
              <w:rPr>
                <w:rFonts w:ascii="Arial" w:hAnsi="Arial" w:cs="Arial"/>
                <w:color w:val="7F7F7F" w:themeColor="text1" w:themeTint="80"/>
              </w:rPr>
              <w:t xml:space="preserve">, </w:t>
            </w:r>
            <w:r w:rsidRPr="00257DBE">
              <w:rPr>
                <w:rStyle w:val="Textoennegrita"/>
                <w:rFonts w:ascii="Arial" w:eastAsiaTheme="majorEastAsia" w:hAnsi="Arial" w:cs="Arial"/>
                <w:b w:val="0"/>
                <w:bCs w:val="0"/>
                <w:color w:val="7F7F7F" w:themeColor="text1" w:themeTint="80"/>
              </w:rPr>
              <w:t>Schoology</w:t>
            </w:r>
            <w:r w:rsidRPr="00257DBE">
              <w:rPr>
                <w:rFonts w:ascii="Arial" w:hAnsi="Arial" w:cs="Arial"/>
                <w:color w:val="7F7F7F" w:themeColor="text1" w:themeTint="80"/>
              </w:rPr>
              <w:t xml:space="preserve">, and </w:t>
            </w:r>
            <w:r w:rsidRPr="00257DBE">
              <w:rPr>
                <w:rStyle w:val="Textoennegrita"/>
                <w:rFonts w:ascii="Arial" w:eastAsiaTheme="majorEastAsia" w:hAnsi="Arial" w:cs="Arial"/>
                <w:b w:val="0"/>
                <w:bCs w:val="0"/>
                <w:color w:val="7F7F7F" w:themeColor="text1" w:themeTint="80"/>
              </w:rPr>
              <w:t>iReady</w:t>
            </w:r>
            <w:r w:rsidRPr="00257DBE">
              <w:rPr>
                <w:rFonts w:ascii="Arial" w:hAnsi="Arial" w:cs="Arial"/>
                <w:color w:val="7F7F7F" w:themeColor="text1" w:themeTint="80"/>
              </w:rPr>
              <w:t xml:space="preserve"> can be used, along with usage reports from digital platforms to see how frequently these tools are used by both students and teachers. </w:t>
            </w:r>
          </w:p>
        </w:tc>
        <w:tc>
          <w:tcPr>
            <w:tcW w:w="3150" w:type="dxa"/>
          </w:tcPr>
          <w:p w14:paraId="05C6C842"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Achieve 75% adoption of hybrid learning tools among students and teachers in the first quarter.</w:t>
            </w:r>
          </w:p>
        </w:tc>
      </w:tr>
      <w:tr w:rsidR="00D85B4E" w:rsidRPr="00257DBE" w14:paraId="36231448" w14:textId="77777777" w:rsidTr="00D85B4E">
        <w:tc>
          <w:tcPr>
            <w:cnfStyle w:val="001000000000" w:firstRow="0" w:lastRow="0" w:firstColumn="1" w:lastColumn="0" w:oddVBand="0" w:evenVBand="0" w:oddHBand="0" w:evenHBand="0" w:firstRowFirstColumn="0" w:firstRowLastColumn="0" w:lastRowFirstColumn="0" w:lastRowLastColumn="0"/>
            <w:tcW w:w="1724" w:type="dxa"/>
          </w:tcPr>
          <w:p w14:paraId="51E21B02" w14:textId="77777777" w:rsidR="00D85B4E" w:rsidRPr="00257DBE" w:rsidRDefault="00D85B4E" w:rsidP="002E4ECA">
            <w:pPr>
              <w:rPr>
                <w:rFonts w:ascii="Arial" w:hAnsi="Arial" w:cs="Arial"/>
                <w:color w:val="1DBCC5"/>
              </w:rPr>
            </w:pPr>
            <w:r w:rsidRPr="00257DBE">
              <w:rPr>
                <w:rFonts w:ascii="Arial" w:hAnsi="Arial" w:cs="Arial"/>
                <w:color w:val="1DBCC5"/>
              </w:rPr>
              <w:t>Teacher Satisfaction and Adaptation</w:t>
            </w:r>
          </w:p>
        </w:tc>
        <w:tc>
          <w:tcPr>
            <w:tcW w:w="1857" w:type="dxa"/>
          </w:tcPr>
          <w:p w14:paraId="6A32F171"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Pr>
                <w:rFonts w:ascii="Arial" w:hAnsi="Arial" w:cs="Arial"/>
                <w:color w:val="7F7F7F" w:themeColor="text1" w:themeTint="80"/>
              </w:rPr>
              <w:t>T</w:t>
            </w:r>
            <w:r w:rsidRPr="00257DBE">
              <w:rPr>
                <w:rFonts w:ascii="Arial" w:hAnsi="Arial" w:cs="Arial"/>
                <w:color w:val="7F7F7F" w:themeColor="text1" w:themeTint="80"/>
              </w:rPr>
              <w:t>eacher satisfaction and 90% participation in professional development</w:t>
            </w:r>
          </w:p>
        </w:tc>
        <w:tc>
          <w:tcPr>
            <w:tcW w:w="7574" w:type="dxa"/>
          </w:tcPr>
          <w:p w14:paraId="3F657476" w14:textId="77777777" w:rsidR="00D85B4E" w:rsidRPr="00257DBE" w:rsidRDefault="00D85B4E" w:rsidP="002E4EC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Measured through structured interviews, feedback surveys, and participation in professional development. Teachers will complete quarterly surveys that assess their confidence and comfort with the hybrid learning model. Additionally, we can track teachers' attendance in professional development workshops focused on the use of digital tools and hybrid teaching strategies.</w:t>
            </w:r>
          </w:p>
        </w:tc>
        <w:tc>
          <w:tcPr>
            <w:tcW w:w="3150" w:type="dxa"/>
          </w:tcPr>
          <w:p w14:paraId="3231A8BC"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Achieve 80% teacher satisfaction and 90% participation in professional development workshops.</w:t>
            </w:r>
          </w:p>
        </w:tc>
      </w:tr>
      <w:tr w:rsidR="00D85B4E" w:rsidRPr="00257DBE" w14:paraId="580397A0" w14:textId="77777777" w:rsidTr="00D85B4E">
        <w:tc>
          <w:tcPr>
            <w:cnfStyle w:val="001000000000" w:firstRow="0" w:lastRow="0" w:firstColumn="1" w:lastColumn="0" w:oddVBand="0" w:evenVBand="0" w:oddHBand="0" w:evenHBand="0" w:firstRowFirstColumn="0" w:firstRowLastColumn="0" w:lastRowFirstColumn="0" w:lastRowLastColumn="0"/>
            <w:tcW w:w="1724" w:type="dxa"/>
          </w:tcPr>
          <w:p w14:paraId="7ACDDBC7" w14:textId="77777777" w:rsidR="00D85B4E" w:rsidRPr="00257DBE" w:rsidRDefault="00D85B4E" w:rsidP="002E4ECA">
            <w:pPr>
              <w:rPr>
                <w:rFonts w:ascii="Arial" w:hAnsi="Arial" w:cs="Arial"/>
                <w:color w:val="1DBCC5"/>
              </w:rPr>
            </w:pPr>
            <w:r w:rsidRPr="00257DBE">
              <w:rPr>
                <w:rFonts w:ascii="Arial" w:hAnsi="Arial" w:cs="Arial"/>
                <w:color w:val="1DBCC5"/>
              </w:rPr>
              <w:t>Parental Engagement</w:t>
            </w:r>
          </w:p>
        </w:tc>
        <w:tc>
          <w:tcPr>
            <w:tcW w:w="1857" w:type="dxa"/>
          </w:tcPr>
          <w:p w14:paraId="46756863"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Pr>
                <w:rFonts w:ascii="Arial" w:hAnsi="Arial" w:cs="Arial"/>
                <w:color w:val="7F7F7F" w:themeColor="text1" w:themeTint="80"/>
              </w:rPr>
              <w:t>P</w:t>
            </w:r>
            <w:r w:rsidRPr="00257DBE">
              <w:rPr>
                <w:rFonts w:ascii="Arial" w:hAnsi="Arial" w:cs="Arial"/>
                <w:color w:val="7F7F7F" w:themeColor="text1" w:themeTint="80"/>
              </w:rPr>
              <w:t>arent participation and 80% response rate in surveys</w:t>
            </w:r>
          </w:p>
        </w:tc>
        <w:tc>
          <w:tcPr>
            <w:tcW w:w="7574" w:type="dxa"/>
          </w:tcPr>
          <w:p w14:paraId="21328AFD"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 xml:space="preserve">Evaluated by attendance at training sessions, use of home resources, and perception surveys. To measure this, we can track parents' participation in online training sessions or workshops through </w:t>
            </w:r>
            <w:r w:rsidRPr="00257DBE">
              <w:rPr>
                <w:rStyle w:val="Textoennegrita"/>
                <w:rFonts w:ascii="Arial" w:eastAsiaTheme="majorEastAsia" w:hAnsi="Arial" w:cs="Arial"/>
                <w:b w:val="0"/>
                <w:bCs w:val="0"/>
                <w:color w:val="7F7F7F" w:themeColor="text1" w:themeTint="80"/>
              </w:rPr>
              <w:t xml:space="preserve">attendance </w:t>
            </w:r>
            <w:r w:rsidRPr="00257DBE">
              <w:rPr>
                <w:rStyle w:val="Textoennegrita"/>
                <w:rFonts w:ascii="Arial" w:hAnsi="Arial" w:cs="Arial"/>
                <w:b w:val="0"/>
                <w:bCs w:val="0"/>
                <w:color w:val="7F7F7F" w:themeColor="text1" w:themeTint="80"/>
              </w:rPr>
              <w:t>logs</w:t>
            </w:r>
            <w:r w:rsidRPr="00257DBE">
              <w:rPr>
                <w:rFonts w:ascii="Arial" w:hAnsi="Arial" w:cs="Arial"/>
                <w:color w:val="7F7F7F" w:themeColor="text1" w:themeTint="80"/>
              </w:rPr>
              <w:t xml:space="preserve"> and evaluate the frequency of their interactions with platforms such as </w:t>
            </w:r>
            <w:r w:rsidRPr="00257DBE">
              <w:rPr>
                <w:rStyle w:val="Textoennegrita"/>
                <w:rFonts w:ascii="Arial" w:eastAsiaTheme="majorEastAsia" w:hAnsi="Arial" w:cs="Arial"/>
                <w:b w:val="0"/>
                <w:bCs w:val="0"/>
                <w:color w:val="7F7F7F" w:themeColor="text1" w:themeTint="80"/>
              </w:rPr>
              <w:t>HMH</w:t>
            </w:r>
            <w:r w:rsidRPr="00257DBE">
              <w:rPr>
                <w:rFonts w:ascii="Arial" w:hAnsi="Arial" w:cs="Arial"/>
                <w:color w:val="7F7F7F" w:themeColor="text1" w:themeTint="80"/>
              </w:rPr>
              <w:t xml:space="preserve">, </w:t>
            </w:r>
            <w:r w:rsidRPr="00257DBE">
              <w:rPr>
                <w:rStyle w:val="Textoennegrita"/>
                <w:rFonts w:ascii="Arial" w:eastAsiaTheme="majorEastAsia" w:hAnsi="Arial" w:cs="Arial"/>
                <w:b w:val="0"/>
                <w:bCs w:val="0"/>
                <w:color w:val="7F7F7F" w:themeColor="text1" w:themeTint="80"/>
              </w:rPr>
              <w:t>Kahoot</w:t>
            </w:r>
            <w:r w:rsidRPr="00257DBE">
              <w:rPr>
                <w:rFonts w:ascii="Arial" w:hAnsi="Arial" w:cs="Arial"/>
                <w:color w:val="7F7F7F" w:themeColor="text1" w:themeTint="80"/>
              </w:rPr>
              <w:t xml:space="preserve">, or </w:t>
            </w:r>
            <w:r w:rsidRPr="00257DBE">
              <w:rPr>
                <w:rStyle w:val="Textoennegrita"/>
                <w:rFonts w:ascii="Arial" w:eastAsiaTheme="majorEastAsia" w:hAnsi="Arial" w:cs="Arial"/>
                <w:b w:val="0"/>
                <w:bCs w:val="0"/>
                <w:color w:val="7F7F7F" w:themeColor="text1" w:themeTint="80"/>
              </w:rPr>
              <w:t>iReady</w:t>
            </w:r>
            <w:r w:rsidRPr="00257DBE">
              <w:rPr>
                <w:rFonts w:ascii="Arial" w:hAnsi="Arial" w:cs="Arial"/>
                <w:color w:val="7F7F7F" w:themeColor="text1" w:themeTint="80"/>
              </w:rPr>
              <w:t xml:space="preserve"> at home. </w:t>
            </w:r>
          </w:p>
        </w:tc>
        <w:tc>
          <w:tcPr>
            <w:tcW w:w="3150" w:type="dxa"/>
          </w:tcPr>
          <w:p w14:paraId="2B0ACA67"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Ensure 80% parent participation in workshops and an 80% response rate in engagement surveys.</w:t>
            </w:r>
          </w:p>
        </w:tc>
      </w:tr>
      <w:tr w:rsidR="00D85B4E" w:rsidRPr="00257DBE" w14:paraId="1AB97F9F" w14:textId="77777777" w:rsidTr="00D85B4E">
        <w:tc>
          <w:tcPr>
            <w:cnfStyle w:val="001000000000" w:firstRow="0" w:lastRow="0" w:firstColumn="1" w:lastColumn="0" w:oddVBand="0" w:evenVBand="0" w:oddHBand="0" w:evenHBand="0" w:firstRowFirstColumn="0" w:firstRowLastColumn="0" w:lastRowFirstColumn="0" w:lastRowLastColumn="0"/>
            <w:tcW w:w="1724" w:type="dxa"/>
          </w:tcPr>
          <w:p w14:paraId="1CDCB689" w14:textId="77777777" w:rsidR="00D85B4E" w:rsidRPr="00257DBE" w:rsidRDefault="00D85B4E" w:rsidP="002E4ECA">
            <w:pPr>
              <w:rPr>
                <w:rFonts w:ascii="Arial" w:hAnsi="Arial" w:cs="Arial"/>
                <w:color w:val="1DBCC5"/>
              </w:rPr>
            </w:pPr>
            <w:r w:rsidRPr="00257DBE">
              <w:rPr>
                <w:rFonts w:ascii="Arial" w:hAnsi="Arial" w:cs="Arial"/>
                <w:color w:val="1DBCC5"/>
              </w:rPr>
              <w:t>Academic Performance Improvement</w:t>
            </w:r>
          </w:p>
        </w:tc>
        <w:tc>
          <w:tcPr>
            <w:tcW w:w="1857" w:type="dxa"/>
          </w:tcPr>
          <w:p w14:paraId="5A535E57"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Pr>
                <w:rFonts w:ascii="Arial" w:hAnsi="Arial" w:cs="Arial"/>
                <w:color w:val="7F7F7F" w:themeColor="text1" w:themeTint="80"/>
              </w:rPr>
              <w:t>I</w:t>
            </w:r>
            <w:r w:rsidRPr="00257DBE">
              <w:rPr>
                <w:rFonts w:ascii="Arial" w:hAnsi="Arial" w:cs="Arial"/>
                <w:color w:val="7F7F7F" w:themeColor="text1" w:themeTint="80"/>
              </w:rPr>
              <w:t>mprovement in student performance</w:t>
            </w:r>
          </w:p>
        </w:tc>
        <w:tc>
          <w:tcPr>
            <w:tcW w:w="7574" w:type="dxa"/>
          </w:tcPr>
          <w:p w14:paraId="4B570EC4"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 xml:space="preserve">Based on progress in diagnostic assessments, daily performance, and advances in reading and writing. We can measure this by tracking student performance on </w:t>
            </w:r>
            <w:r w:rsidRPr="00257DBE">
              <w:rPr>
                <w:rStyle w:val="Textoennegrita"/>
                <w:rFonts w:ascii="Arial" w:eastAsiaTheme="majorEastAsia" w:hAnsi="Arial" w:cs="Arial"/>
                <w:b w:val="0"/>
                <w:bCs w:val="0"/>
                <w:color w:val="7F7F7F" w:themeColor="text1" w:themeTint="80"/>
              </w:rPr>
              <w:t>formative assessments</w:t>
            </w:r>
            <w:r w:rsidRPr="00257DBE">
              <w:rPr>
                <w:rFonts w:ascii="Arial" w:hAnsi="Arial" w:cs="Arial"/>
                <w:color w:val="7F7F7F" w:themeColor="text1" w:themeTint="80"/>
              </w:rPr>
              <w:t xml:space="preserve"> using </w:t>
            </w:r>
            <w:r w:rsidRPr="00257DBE">
              <w:rPr>
                <w:rStyle w:val="Textoennegrita"/>
                <w:rFonts w:ascii="Arial" w:eastAsiaTheme="majorEastAsia" w:hAnsi="Arial" w:cs="Arial"/>
                <w:b w:val="0"/>
                <w:bCs w:val="0"/>
                <w:color w:val="7F7F7F" w:themeColor="text1" w:themeTint="80"/>
              </w:rPr>
              <w:t>adaptive learning</w:t>
            </w:r>
            <w:r w:rsidRPr="00257DBE">
              <w:rPr>
                <w:rFonts w:ascii="Arial" w:hAnsi="Arial" w:cs="Arial"/>
                <w:color w:val="7F7F7F" w:themeColor="text1" w:themeTint="80"/>
              </w:rPr>
              <w:t xml:space="preserve"> tools like </w:t>
            </w:r>
            <w:r w:rsidRPr="00257DBE">
              <w:rPr>
                <w:rStyle w:val="Textoennegrita"/>
                <w:rFonts w:ascii="Arial" w:eastAsiaTheme="majorEastAsia" w:hAnsi="Arial" w:cs="Arial"/>
                <w:b w:val="0"/>
                <w:bCs w:val="0"/>
                <w:color w:val="7F7F7F" w:themeColor="text1" w:themeTint="80"/>
              </w:rPr>
              <w:t>iReady</w:t>
            </w:r>
            <w:r w:rsidRPr="00257DBE">
              <w:rPr>
                <w:rFonts w:ascii="Arial" w:hAnsi="Arial" w:cs="Arial"/>
                <w:color w:val="7F7F7F" w:themeColor="text1" w:themeTint="80"/>
              </w:rPr>
              <w:t xml:space="preserve">, </w:t>
            </w:r>
            <w:r w:rsidRPr="00257DBE">
              <w:rPr>
                <w:rStyle w:val="Textoennegrita"/>
                <w:rFonts w:ascii="Arial" w:eastAsiaTheme="majorEastAsia" w:hAnsi="Arial" w:cs="Arial"/>
                <w:b w:val="0"/>
                <w:bCs w:val="0"/>
                <w:color w:val="7F7F7F" w:themeColor="text1" w:themeTint="80"/>
              </w:rPr>
              <w:t>Amplify</w:t>
            </w:r>
            <w:r w:rsidRPr="00257DBE">
              <w:rPr>
                <w:rFonts w:ascii="Arial" w:hAnsi="Arial" w:cs="Arial"/>
                <w:color w:val="7F7F7F" w:themeColor="text1" w:themeTint="80"/>
              </w:rPr>
              <w:t xml:space="preserve">, </w:t>
            </w:r>
            <w:r w:rsidRPr="00257DBE">
              <w:rPr>
                <w:rStyle w:val="Textoennegrita"/>
                <w:rFonts w:ascii="Arial" w:eastAsiaTheme="majorEastAsia" w:hAnsi="Arial" w:cs="Arial"/>
                <w:b w:val="0"/>
                <w:bCs w:val="0"/>
                <w:color w:val="7F7F7F" w:themeColor="text1" w:themeTint="80"/>
              </w:rPr>
              <w:t>Kahoot</w:t>
            </w:r>
            <w:r w:rsidRPr="00257DBE">
              <w:rPr>
                <w:rFonts w:ascii="Arial" w:hAnsi="Arial" w:cs="Arial"/>
                <w:color w:val="7F7F7F" w:themeColor="text1" w:themeTint="80"/>
              </w:rPr>
              <w:t xml:space="preserve">, and </w:t>
            </w:r>
            <w:r w:rsidRPr="00257DBE">
              <w:rPr>
                <w:rStyle w:val="Textoennegrita"/>
                <w:rFonts w:ascii="Arial" w:eastAsiaTheme="majorEastAsia" w:hAnsi="Arial" w:cs="Arial"/>
                <w:b w:val="0"/>
                <w:bCs w:val="0"/>
                <w:color w:val="7F7F7F" w:themeColor="text1" w:themeTint="80"/>
              </w:rPr>
              <w:t>HMH</w:t>
            </w:r>
            <w:r w:rsidRPr="00257DBE">
              <w:rPr>
                <w:rFonts w:ascii="Arial" w:hAnsi="Arial" w:cs="Arial"/>
                <w:color w:val="7F7F7F" w:themeColor="text1" w:themeTint="80"/>
              </w:rPr>
              <w:t>, along with traditional paper-based assessments. We will compare progress made during the academic year, focusing on improvements in reading comprehension and writing fluency.</w:t>
            </w:r>
          </w:p>
        </w:tc>
        <w:tc>
          <w:tcPr>
            <w:tcW w:w="3150" w:type="dxa"/>
          </w:tcPr>
          <w:p w14:paraId="65DE42E7" w14:textId="77777777" w:rsidR="00D85B4E" w:rsidRPr="00257DBE" w:rsidRDefault="00D85B4E" w:rsidP="002E4ECA">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rPr>
            </w:pPr>
            <w:r w:rsidRPr="00257DBE">
              <w:rPr>
                <w:rFonts w:ascii="Arial" w:hAnsi="Arial" w:cs="Arial"/>
                <w:color w:val="7F7F7F" w:themeColor="text1" w:themeTint="80"/>
              </w:rPr>
              <w:t>Achieve a 10% improvement in student performance on diagnostic assessments.</w:t>
            </w:r>
          </w:p>
        </w:tc>
      </w:tr>
    </w:tbl>
    <w:p w14:paraId="3B68B65E" w14:textId="77777777" w:rsidR="00533EC9" w:rsidRPr="00D85B4E" w:rsidRDefault="00533EC9">
      <w:pPr>
        <w:rPr>
          <w:lang w:val="en-US"/>
        </w:rPr>
      </w:pPr>
    </w:p>
    <w:sectPr w:rsidR="00533EC9" w:rsidRPr="00D85B4E" w:rsidSect="00D85B4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4E"/>
    <w:rsid w:val="000F3B77"/>
    <w:rsid w:val="003E29A4"/>
    <w:rsid w:val="00533EC9"/>
    <w:rsid w:val="00D85B4E"/>
    <w:rsid w:val="00E735B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390A"/>
  <w15:chartTrackingRefBased/>
  <w15:docId w15:val="{0AF79612-77A1-9445-90C0-8FFA1466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4E"/>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D85B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D85B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D85B4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D85B4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D85B4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D85B4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D85B4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D85B4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D85B4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B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5B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85B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5B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5B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5B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5B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5B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5B4E"/>
    <w:rPr>
      <w:rFonts w:eastAsiaTheme="majorEastAsia" w:cstheme="majorBidi"/>
      <w:color w:val="272727" w:themeColor="text1" w:themeTint="D8"/>
    </w:rPr>
  </w:style>
  <w:style w:type="paragraph" w:styleId="Ttulo">
    <w:name w:val="Title"/>
    <w:basedOn w:val="Normal"/>
    <w:next w:val="Normal"/>
    <w:link w:val="TtuloCar"/>
    <w:uiPriority w:val="10"/>
    <w:qFormat/>
    <w:rsid w:val="00D85B4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85B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5B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85B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5B4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D85B4E"/>
    <w:rPr>
      <w:i/>
      <w:iCs/>
      <w:color w:val="404040" w:themeColor="text1" w:themeTint="BF"/>
    </w:rPr>
  </w:style>
  <w:style w:type="paragraph" w:styleId="Prrafodelista">
    <w:name w:val="List Paragraph"/>
    <w:basedOn w:val="Normal"/>
    <w:uiPriority w:val="34"/>
    <w:qFormat/>
    <w:rsid w:val="00D85B4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D85B4E"/>
    <w:rPr>
      <w:i/>
      <w:iCs/>
      <w:color w:val="0F4761" w:themeColor="accent1" w:themeShade="BF"/>
    </w:rPr>
  </w:style>
  <w:style w:type="paragraph" w:styleId="Citadestacada">
    <w:name w:val="Intense Quote"/>
    <w:basedOn w:val="Normal"/>
    <w:next w:val="Normal"/>
    <w:link w:val="CitadestacadaCar"/>
    <w:uiPriority w:val="30"/>
    <w:qFormat/>
    <w:rsid w:val="00D85B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D85B4E"/>
    <w:rPr>
      <w:i/>
      <w:iCs/>
      <w:color w:val="0F4761" w:themeColor="accent1" w:themeShade="BF"/>
    </w:rPr>
  </w:style>
  <w:style w:type="character" w:styleId="Referenciaintensa">
    <w:name w:val="Intense Reference"/>
    <w:basedOn w:val="Fuentedeprrafopredeter"/>
    <w:uiPriority w:val="32"/>
    <w:qFormat/>
    <w:rsid w:val="00D85B4E"/>
    <w:rPr>
      <w:b/>
      <w:bCs/>
      <w:smallCaps/>
      <w:color w:val="0F4761" w:themeColor="accent1" w:themeShade="BF"/>
      <w:spacing w:val="5"/>
    </w:rPr>
  </w:style>
  <w:style w:type="character" w:styleId="Textoennegrita">
    <w:name w:val="Strong"/>
    <w:basedOn w:val="Fuentedeprrafopredeter"/>
    <w:uiPriority w:val="22"/>
    <w:qFormat/>
    <w:rsid w:val="00D85B4E"/>
    <w:rPr>
      <w:b/>
      <w:bCs/>
    </w:rPr>
  </w:style>
  <w:style w:type="table" w:styleId="Tablaconcuadrcula1clara-nfasis5">
    <w:name w:val="Grid Table 1 Light Accent 5"/>
    <w:basedOn w:val="Tablanormal"/>
    <w:uiPriority w:val="46"/>
    <w:rsid w:val="00D85B4E"/>
    <w:pPr>
      <w:spacing w:after="0" w:line="240" w:lineRule="auto"/>
    </w:pPr>
    <w:rPr>
      <w:rFonts w:eastAsiaTheme="minorEastAsia"/>
      <w:kern w:val="0"/>
      <w:sz w:val="22"/>
      <w:szCs w:val="22"/>
      <w:lang w:val="en-US"/>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 Correa</dc:creator>
  <cp:keywords/>
  <dc:description/>
  <cp:lastModifiedBy>Paula A Correa</cp:lastModifiedBy>
  <cp:revision>1</cp:revision>
  <dcterms:created xsi:type="dcterms:W3CDTF">2025-04-12T07:41:00Z</dcterms:created>
  <dcterms:modified xsi:type="dcterms:W3CDTF">2025-04-12T07:44:00Z</dcterms:modified>
</cp:coreProperties>
</file>