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16F2CB" w14:textId="11547C89" w:rsidR="00B439F3" w:rsidRPr="00B439F3" w:rsidRDefault="00B439F3" w:rsidP="00B439F3">
      <w:pPr>
        <w:rPr>
          <w:b/>
          <w:bCs/>
        </w:rPr>
      </w:pPr>
      <w:r w:rsidRPr="00B439F3">
        <w:rPr>
          <w:b/>
          <w:bCs/>
        </w:rPr>
        <w:t>Sexual Violence Investigation, Confidentiality &amp; Due Process Act of 202</w:t>
      </w:r>
      <w:r w:rsidR="00493668">
        <w:rPr>
          <w:b/>
          <w:bCs/>
        </w:rPr>
        <w:t>9</w:t>
      </w:r>
    </w:p>
    <w:p w14:paraId="506CFBCF" w14:textId="77777777" w:rsidR="00B439F3" w:rsidRPr="00B439F3" w:rsidRDefault="006A6B64" w:rsidP="00B439F3">
      <w:pPr>
        <w:rPr>
          <w:b/>
          <w:bCs/>
        </w:rPr>
      </w:pPr>
      <w:r>
        <w:rPr>
          <w:b/>
          <w:bCs/>
        </w:rPr>
        <w:pict w14:anchorId="5C8ECD43">
          <v:rect id="_x0000_i1025" style="width:0;height:1.5pt" o:hralign="center" o:hrstd="t" o:hr="t" fillcolor="#a0a0a0" stroked="f"/>
        </w:pict>
      </w:r>
    </w:p>
    <w:p w14:paraId="00051888" w14:textId="77777777" w:rsidR="00B439F3" w:rsidRPr="00B439F3" w:rsidRDefault="00B439F3" w:rsidP="00B439F3">
      <w:pPr>
        <w:rPr>
          <w:b/>
          <w:bCs/>
        </w:rPr>
      </w:pPr>
      <w:r w:rsidRPr="00B439F3">
        <w:rPr>
          <w:b/>
          <w:bCs/>
        </w:rPr>
        <w:t>Purpose Statement</w:t>
      </w:r>
    </w:p>
    <w:p w14:paraId="5E8AD533" w14:textId="77777777" w:rsidR="00B439F3" w:rsidRPr="00B439F3" w:rsidRDefault="00B439F3" w:rsidP="00B439F3">
      <w:pPr>
        <w:rPr>
          <w:b/>
          <w:bCs/>
        </w:rPr>
      </w:pPr>
      <w:r w:rsidRPr="00B439F3">
        <w:rPr>
          <w:b/>
          <w:bCs/>
        </w:rPr>
        <w:t>The purpose of this Act is to ensure that victims of sexual violence may report crimes without fear of retaliation or public exposure, while preserving due process, protecting the innocent, and safeguarding the integrity of investigations.</w:t>
      </w:r>
    </w:p>
    <w:p w14:paraId="0F21DD6C" w14:textId="77777777" w:rsidR="00B439F3" w:rsidRPr="00B439F3" w:rsidRDefault="00B439F3" w:rsidP="00B439F3">
      <w:pPr>
        <w:rPr>
          <w:b/>
          <w:bCs/>
        </w:rPr>
      </w:pPr>
      <w:r w:rsidRPr="00B439F3">
        <w:rPr>
          <w:b/>
          <w:bCs/>
        </w:rPr>
        <w:t>This Act governs investigative procedures only and does not create new criminal offenses.</w:t>
      </w:r>
    </w:p>
    <w:p w14:paraId="21383C0C" w14:textId="77777777" w:rsidR="00B439F3" w:rsidRPr="00B439F3" w:rsidRDefault="006A6B64" w:rsidP="00B439F3">
      <w:pPr>
        <w:rPr>
          <w:b/>
          <w:bCs/>
        </w:rPr>
      </w:pPr>
      <w:r>
        <w:rPr>
          <w:b/>
          <w:bCs/>
        </w:rPr>
        <w:pict w14:anchorId="6D6560B3">
          <v:rect id="_x0000_i1026" style="width:0;height:1.5pt" o:hralign="center" o:hrstd="t" o:hr="t" fillcolor="#a0a0a0" stroked="f"/>
        </w:pict>
      </w:r>
    </w:p>
    <w:p w14:paraId="05645A9A" w14:textId="77777777" w:rsidR="00B439F3" w:rsidRPr="00B439F3" w:rsidRDefault="00B439F3" w:rsidP="00B439F3">
      <w:pPr>
        <w:rPr>
          <w:b/>
          <w:bCs/>
        </w:rPr>
      </w:pPr>
      <w:r w:rsidRPr="00B439F3">
        <w:rPr>
          <w:b/>
          <w:bCs/>
        </w:rPr>
        <w:t>SECTION 1. SHORT TITLE</w:t>
      </w:r>
    </w:p>
    <w:p w14:paraId="75F468EF" w14:textId="669D8D19" w:rsidR="00B439F3" w:rsidRPr="00B439F3" w:rsidRDefault="00B439F3" w:rsidP="00B439F3">
      <w:pPr>
        <w:rPr>
          <w:b/>
          <w:bCs/>
        </w:rPr>
      </w:pPr>
      <w:r w:rsidRPr="00B439F3">
        <w:rPr>
          <w:b/>
          <w:bCs/>
        </w:rPr>
        <w:t>This Act may be cited as the “Sexual Violence Investigation, Confidentiality &amp; Due Process Act of 202</w:t>
      </w:r>
      <w:r w:rsidR="00493668">
        <w:rPr>
          <w:b/>
          <w:bCs/>
        </w:rPr>
        <w:t>9</w:t>
      </w:r>
      <w:r w:rsidRPr="00B439F3">
        <w:rPr>
          <w:b/>
          <w:bCs/>
        </w:rPr>
        <w:t>.”</w:t>
      </w:r>
    </w:p>
    <w:p w14:paraId="3C6A925C" w14:textId="77777777" w:rsidR="00B439F3" w:rsidRPr="00B439F3" w:rsidRDefault="006A6B64" w:rsidP="00B439F3">
      <w:pPr>
        <w:rPr>
          <w:b/>
          <w:bCs/>
        </w:rPr>
      </w:pPr>
      <w:r>
        <w:rPr>
          <w:b/>
          <w:bCs/>
        </w:rPr>
        <w:pict w14:anchorId="653B994D">
          <v:rect id="_x0000_i1027" style="width:0;height:1.5pt" o:hralign="center" o:hrstd="t" o:hr="t" fillcolor="#a0a0a0" stroked="f"/>
        </w:pict>
      </w:r>
    </w:p>
    <w:p w14:paraId="5F7D9EE0" w14:textId="77777777" w:rsidR="00B439F3" w:rsidRPr="00B439F3" w:rsidRDefault="00B439F3" w:rsidP="00B439F3">
      <w:pPr>
        <w:rPr>
          <w:b/>
          <w:bCs/>
        </w:rPr>
      </w:pPr>
      <w:r w:rsidRPr="00B439F3">
        <w:rPr>
          <w:b/>
          <w:bCs/>
        </w:rPr>
        <w:t>SECTION 2. FINDINGS</w:t>
      </w:r>
    </w:p>
    <w:p w14:paraId="7144CDD7" w14:textId="77777777" w:rsidR="00B439F3" w:rsidRPr="00B439F3" w:rsidRDefault="00B439F3" w:rsidP="00B439F3">
      <w:pPr>
        <w:rPr>
          <w:b/>
          <w:bCs/>
        </w:rPr>
      </w:pPr>
      <w:r w:rsidRPr="00B439F3">
        <w:rPr>
          <w:b/>
          <w:bCs/>
        </w:rPr>
        <w:t>Congress finds the following:</w:t>
      </w:r>
    </w:p>
    <w:p w14:paraId="7799A278" w14:textId="77777777" w:rsidR="00B439F3" w:rsidRPr="00B439F3" w:rsidRDefault="00B439F3" w:rsidP="00B439F3">
      <w:pPr>
        <w:numPr>
          <w:ilvl w:val="0"/>
          <w:numId w:val="1"/>
        </w:numPr>
        <w:rPr>
          <w:b/>
          <w:bCs/>
        </w:rPr>
      </w:pPr>
      <w:r w:rsidRPr="00B439F3">
        <w:rPr>
          <w:b/>
          <w:bCs/>
        </w:rPr>
        <w:t>Fear of retaliation and public exposure discourages victims from reporting sexual violence.</w:t>
      </w:r>
    </w:p>
    <w:p w14:paraId="5BFACF0D" w14:textId="77777777" w:rsidR="00B439F3" w:rsidRPr="00B439F3" w:rsidRDefault="00B439F3" w:rsidP="00B439F3">
      <w:pPr>
        <w:numPr>
          <w:ilvl w:val="0"/>
          <w:numId w:val="1"/>
        </w:numPr>
        <w:rPr>
          <w:b/>
          <w:bCs/>
        </w:rPr>
      </w:pPr>
      <w:r w:rsidRPr="00B439F3">
        <w:rPr>
          <w:b/>
          <w:bCs/>
        </w:rPr>
        <w:t>Premature public disclosure can irreparably harm victims and the accused alike.</w:t>
      </w:r>
    </w:p>
    <w:p w14:paraId="3FE6107F" w14:textId="77777777" w:rsidR="00B439F3" w:rsidRPr="00B439F3" w:rsidRDefault="00B439F3" w:rsidP="00B439F3">
      <w:pPr>
        <w:numPr>
          <w:ilvl w:val="0"/>
          <w:numId w:val="1"/>
        </w:numPr>
        <w:rPr>
          <w:b/>
          <w:bCs/>
        </w:rPr>
      </w:pPr>
      <w:r w:rsidRPr="00B439F3">
        <w:rPr>
          <w:b/>
          <w:bCs/>
        </w:rPr>
        <w:t>Justice requires both compassion for victims and adherence to due process.</w:t>
      </w:r>
    </w:p>
    <w:p w14:paraId="7813ABC1" w14:textId="77777777" w:rsidR="00B439F3" w:rsidRPr="00B439F3" w:rsidRDefault="00B439F3" w:rsidP="00B439F3">
      <w:pPr>
        <w:numPr>
          <w:ilvl w:val="0"/>
          <w:numId w:val="1"/>
        </w:numPr>
        <w:rPr>
          <w:b/>
          <w:bCs/>
        </w:rPr>
      </w:pPr>
      <w:r w:rsidRPr="00B439F3">
        <w:rPr>
          <w:b/>
          <w:bCs/>
        </w:rPr>
        <w:t>False accusations, while less common, undermine trust and must be addressed carefully and fairly.</w:t>
      </w:r>
    </w:p>
    <w:p w14:paraId="25B1003A" w14:textId="77777777" w:rsidR="00B439F3" w:rsidRPr="00B439F3" w:rsidRDefault="006A6B64" w:rsidP="00B439F3">
      <w:pPr>
        <w:rPr>
          <w:b/>
          <w:bCs/>
        </w:rPr>
      </w:pPr>
      <w:r>
        <w:rPr>
          <w:b/>
          <w:bCs/>
        </w:rPr>
        <w:pict w14:anchorId="3A751CEE">
          <v:rect id="_x0000_i1028" style="width:0;height:1.5pt" o:hralign="center" o:hrstd="t" o:hr="t" fillcolor="#a0a0a0" stroked="f"/>
        </w:pict>
      </w:r>
    </w:p>
    <w:p w14:paraId="12628751" w14:textId="77777777" w:rsidR="00B439F3" w:rsidRPr="00B439F3" w:rsidRDefault="00B439F3" w:rsidP="00B439F3">
      <w:pPr>
        <w:rPr>
          <w:b/>
          <w:bCs/>
        </w:rPr>
      </w:pPr>
      <w:r w:rsidRPr="00B439F3">
        <w:rPr>
          <w:b/>
          <w:bCs/>
        </w:rPr>
        <w:t>SECTION 3. CONFIDENTIAL REPORTING &amp; ANTI-RETALIATION</w:t>
      </w:r>
    </w:p>
    <w:p w14:paraId="68EDE486" w14:textId="77777777" w:rsidR="00B439F3" w:rsidRPr="00B439F3" w:rsidRDefault="00B439F3" w:rsidP="00B439F3">
      <w:pPr>
        <w:numPr>
          <w:ilvl w:val="0"/>
          <w:numId w:val="2"/>
        </w:numPr>
        <w:rPr>
          <w:b/>
          <w:bCs/>
        </w:rPr>
      </w:pPr>
      <w:r w:rsidRPr="00B439F3">
        <w:rPr>
          <w:b/>
          <w:bCs/>
        </w:rPr>
        <w:t>Confidential reporting mechanisms independent of employers and institutions shall be maintained.</w:t>
      </w:r>
    </w:p>
    <w:p w14:paraId="0964C811" w14:textId="77777777" w:rsidR="00B439F3" w:rsidRPr="00B439F3" w:rsidRDefault="00B439F3" w:rsidP="00B439F3">
      <w:pPr>
        <w:numPr>
          <w:ilvl w:val="0"/>
          <w:numId w:val="2"/>
        </w:numPr>
        <w:rPr>
          <w:b/>
          <w:bCs/>
        </w:rPr>
      </w:pPr>
      <w:r w:rsidRPr="00B439F3">
        <w:rPr>
          <w:b/>
          <w:bCs/>
        </w:rPr>
        <w:t>Retaliation against any reporting party, witness, or cooperating individual is prohibited and subject to penalty.</w:t>
      </w:r>
    </w:p>
    <w:p w14:paraId="7A5BF06A" w14:textId="77777777" w:rsidR="00B439F3" w:rsidRPr="00B439F3" w:rsidRDefault="00B439F3" w:rsidP="00B439F3">
      <w:pPr>
        <w:numPr>
          <w:ilvl w:val="0"/>
          <w:numId w:val="2"/>
        </w:numPr>
        <w:rPr>
          <w:b/>
          <w:bCs/>
        </w:rPr>
      </w:pPr>
      <w:r w:rsidRPr="00B439F3">
        <w:rPr>
          <w:b/>
          <w:bCs/>
        </w:rPr>
        <w:t>Protective measures shall be made available immediately upon report.</w:t>
      </w:r>
    </w:p>
    <w:p w14:paraId="34231436" w14:textId="77777777" w:rsidR="00B439F3" w:rsidRPr="00B439F3" w:rsidRDefault="006A6B64" w:rsidP="00B439F3">
      <w:pPr>
        <w:rPr>
          <w:b/>
          <w:bCs/>
        </w:rPr>
      </w:pPr>
      <w:r>
        <w:rPr>
          <w:b/>
          <w:bCs/>
        </w:rPr>
        <w:lastRenderedPageBreak/>
        <w:pict w14:anchorId="39E396E6">
          <v:rect id="_x0000_i1029" style="width:0;height:1.5pt" o:hralign="center" o:hrstd="t" o:hr="t" fillcolor="#a0a0a0" stroked="f"/>
        </w:pict>
      </w:r>
    </w:p>
    <w:p w14:paraId="40CB1F47" w14:textId="77777777" w:rsidR="00B439F3" w:rsidRPr="00B439F3" w:rsidRDefault="00B439F3" w:rsidP="00B439F3">
      <w:pPr>
        <w:rPr>
          <w:b/>
          <w:bCs/>
        </w:rPr>
      </w:pPr>
      <w:r w:rsidRPr="00B439F3">
        <w:rPr>
          <w:b/>
          <w:bCs/>
        </w:rPr>
        <w:t>SECTION 4. INVESTIGATION STANDARDS</w:t>
      </w:r>
    </w:p>
    <w:p w14:paraId="4B7BC175" w14:textId="77777777" w:rsidR="00B439F3" w:rsidRPr="00B439F3" w:rsidRDefault="00B439F3" w:rsidP="00B439F3">
      <w:pPr>
        <w:numPr>
          <w:ilvl w:val="0"/>
          <w:numId w:val="3"/>
        </w:numPr>
        <w:rPr>
          <w:b/>
          <w:bCs/>
        </w:rPr>
      </w:pPr>
      <w:r w:rsidRPr="00B439F3">
        <w:rPr>
          <w:b/>
          <w:bCs/>
        </w:rPr>
        <w:t>Investigations shall be conducted using trauma-informed practices by trained personnel.</w:t>
      </w:r>
    </w:p>
    <w:p w14:paraId="65B97719" w14:textId="77777777" w:rsidR="00B439F3" w:rsidRPr="00B439F3" w:rsidRDefault="00B439F3" w:rsidP="00B439F3">
      <w:pPr>
        <w:numPr>
          <w:ilvl w:val="0"/>
          <w:numId w:val="3"/>
        </w:numPr>
        <w:rPr>
          <w:b/>
          <w:bCs/>
        </w:rPr>
      </w:pPr>
      <w:r w:rsidRPr="00B439F3">
        <w:rPr>
          <w:b/>
          <w:bCs/>
        </w:rPr>
        <w:t>Survivors may request advocacy support throughout the investigative process.</w:t>
      </w:r>
    </w:p>
    <w:p w14:paraId="171AF2DF" w14:textId="77777777" w:rsidR="00B439F3" w:rsidRPr="00B439F3" w:rsidRDefault="00B439F3" w:rsidP="00B439F3">
      <w:pPr>
        <w:numPr>
          <w:ilvl w:val="0"/>
          <w:numId w:val="3"/>
        </w:numPr>
        <w:rPr>
          <w:b/>
          <w:bCs/>
        </w:rPr>
      </w:pPr>
      <w:r w:rsidRPr="00B439F3">
        <w:rPr>
          <w:b/>
          <w:bCs/>
        </w:rPr>
        <w:t>All parties shall receive clear notice of their rights and responsibilities.</w:t>
      </w:r>
    </w:p>
    <w:p w14:paraId="7FE400FE" w14:textId="77777777" w:rsidR="00B439F3" w:rsidRPr="00B439F3" w:rsidRDefault="006A6B64" w:rsidP="00B439F3">
      <w:pPr>
        <w:rPr>
          <w:b/>
          <w:bCs/>
        </w:rPr>
      </w:pPr>
      <w:r>
        <w:rPr>
          <w:b/>
          <w:bCs/>
        </w:rPr>
        <w:pict w14:anchorId="6B20D77C">
          <v:rect id="_x0000_i1030" style="width:0;height:1.5pt" o:hralign="center" o:hrstd="t" o:hr="t" fillcolor="#a0a0a0" stroked="f"/>
        </w:pict>
      </w:r>
    </w:p>
    <w:p w14:paraId="69070203" w14:textId="77777777" w:rsidR="00B439F3" w:rsidRPr="00B439F3" w:rsidRDefault="00B439F3" w:rsidP="00B439F3">
      <w:pPr>
        <w:rPr>
          <w:b/>
          <w:bCs/>
        </w:rPr>
      </w:pPr>
      <w:r w:rsidRPr="00B439F3">
        <w:rPr>
          <w:b/>
          <w:bCs/>
        </w:rPr>
        <w:t>SECTION 5. CONFIDENTIALITY</w:t>
      </w:r>
    </w:p>
    <w:p w14:paraId="4CE5231A" w14:textId="77777777" w:rsidR="00B439F3" w:rsidRPr="00B439F3" w:rsidRDefault="00B439F3" w:rsidP="00B439F3">
      <w:pPr>
        <w:numPr>
          <w:ilvl w:val="0"/>
          <w:numId w:val="4"/>
        </w:numPr>
        <w:rPr>
          <w:b/>
          <w:bCs/>
        </w:rPr>
      </w:pPr>
      <w:r w:rsidRPr="00B439F3">
        <w:rPr>
          <w:b/>
          <w:bCs/>
        </w:rPr>
        <w:t>The identities of the reporting party and the accused shall remain confidential during investigation.</w:t>
      </w:r>
    </w:p>
    <w:p w14:paraId="0D807982" w14:textId="77777777" w:rsidR="00B439F3" w:rsidRPr="00B439F3" w:rsidRDefault="00B439F3" w:rsidP="00B439F3">
      <w:pPr>
        <w:numPr>
          <w:ilvl w:val="0"/>
          <w:numId w:val="4"/>
        </w:numPr>
        <w:rPr>
          <w:b/>
          <w:bCs/>
        </w:rPr>
      </w:pPr>
      <w:r w:rsidRPr="00B439F3">
        <w:rPr>
          <w:b/>
          <w:bCs/>
        </w:rPr>
        <w:t>Public disclosure may occur only after:</w:t>
      </w:r>
    </w:p>
    <w:p w14:paraId="14C23AA2" w14:textId="77777777" w:rsidR="00B439F3" w:rsidRPr="00B439F3" w:rsidRDefault="00B439F3" w:rsidP="00B439F3">
      <w:pPr>
        <w:numPr>
          <w:ilvl w:val="1"/>
          <w:numId w:val="4"/>
        </w:numPr>
        <w:rPr>
          <w:b/>
          <w:bCs/>
        </w:rPr>
      </w:pPr>
      <w:r w:rsidRPr="00B439F3">
        <w:rPr>
          <w:b/>
          <w:bCs/>
        </w:rPr>
        <w:t>a finding of probable cause</w:t>
      </w:r>
    </w:p>
    <w:p w14:paraId="7A501A7C" w14:textId="77777777" w:rsidR="00B439F3" w:rsidRPr="00B439F3" w:rsidRDefault="00B439F3" w:rsidP="00B439F3">
      <w:pPr>
        <w:numPr>
          <w:ilvl w:val="1"/>
          <w:numId w:val="4"/>
        </w:numPr>
        <w:rPr>
          <w:b/>
          <w:bCs/>
        </w:rPr>
      </w:pPr>
      <w:r w:rsidRPr="00B439F3">
        <w:rPr>
          <w:b/>
          <w:bCs/>
        </w:rPr>
        <w:t>the filing of formal charges</w:t>
      </w:r>
    </w:p>
    <w:p w14:paraId="6E150BBE" w14:textId="77777777" w:rsidR="00B439F3" w:rsidRPr="00B439F3" w:rsidRDefault="00B439F3" w:rsidP="00B439F3">
      <w:pPr>
        <w:numPr>
          <w:ilvl w:val="1"/>
          <w:numId w:val="4"/>
        </w:numPr>
        <w:rPr>
          <w:b/>
          <w:bCs/>
        </w:rPr>
      </w:pPr>
      <w:r w:rsidRPr="00B439F3">
        <w:rPr>
          <w:b/>
          <w:bCs/>
        </w:rPr>
        <w:t>or an indictment</w:t>
      </w:r>
    </w:p>
    <w:p w14:paraId="38706C3D" w14:textId="77777777" w:rsidR="00B439F3" w:rsidRPr="00B439F3" w:rsidRDefault="00B439F3" w:rsidP="00B439F3">
      <w:pPr>
        <w:numPr>
          <w:ilvl w:val="0"/>
          <w:numId w:val="4"/>
        </w:numPr>
        <w:rPr>
          <w:b/>
          <w:bCs/>
        </w:rPr>
      </w:pPr>
      <w:r w:rsidRPr="00B439F3">
        <w:rPr>
          <w:b/>
          <w:bCs/>
        </w:rPr>
        <w:t>Unauthorized disclosure of protected information shall be subject to penalty.</w:t>
      </w:r>
    </w:p>
    <w:p w14:paraId="4BF52F82" w14:textId="77777777" w:rsidR="00B439F3" w:rsidRPr="00B439F3" w:rsidRDefault="006A6B64" w:rsidP="00B439F3">
      <w:pPr>
        <w:rPr>
          <w:b/>
          <w:bCs/>
        </w:rPr>
      </w:pPr>
      <w:r>
        <w:rPr>
          <w:b/>
          <w:bCs/>
        </w:rPr>
        <w:pict w14:anchorId="65F79965">
          <v:rect id="_x0000_i1031" style="width:0;height:1.5pt" o:hralign="center" o:hrstd="t" o:hr="t" fillcolor="#a0a0a0" stroked="f"/>
        </w:pict>
      </w:r>
    </w:p>
    <w:p w14:paraId="182C75C8" w14:textId="77777777" w:rsidR="00B439F3" w:rsidRPr="00B439F3" w:rsidRDefault="00B439F3" w:rsidP="00B439F3">
      <w:pPr>
        <w:rPr>
          <w:b/>
          <w:bCs/>
        </w:rPr>
      </w:pPr>
      <w:r w:rsidRPr="00B439F3">
        <w:rPr>
          <w:b/>
          <w:bCs/>
        </w:rPr>
        <w:t>SECTION 6. DUE PROCESS PROTECTIONS</w:t>
      </w:r>
    </w:p>
    <w:p w14:paraId="7CAF2E2D" w14:textId="77777777" w:rsidR="00B439F3" w:rsidRPr="00B439F3" w:rsidRDefault="00B439F3" w:rsidP="00B439F3">
      <w:pPr>
        <w:numPr>
          <w:ilvl w:val="0"/>
          <w:numId w:val="5"/>
        </w:numPr>
        <w:rPr>
          <w:b/>
          <w:bCs/>
        </w:rPr>
      </w:pPr>
      <w:r w:rsidRPr="00B439F3">
        <w:rPr>
          <w:b/>
          <w:bCs/>
        </w:rPr>
        <w:t>The presumption of innocence shall be preserved at all stages.</w:t>
      </w:r>
    </w:p>
    <w:p w14:paraId="678B8136" w14:textId="77777777" w:rsidR="00B439F3" w:rsidRPr="00B439F3" w:rsidRDefault="00B439F3" w:rsidP="00B439F3">
      <w:pPr>
        <w:numPr>
          <w:ilvl w:val="0"/>
          <w:numId w:val="5"/>
        </w:numPr>
        <w:rPr>
          <w:b/>
          <w:bCs/>
        </w:rPr>
      </w:pPr>
      <w:r w:rsidRPr="00B439F3">
        <w:rPr>
          <w:b/>
          <w:bCs/>
        </w:rPr>
        <w:t>All parties shall have the right to legal counsel.</w:t>
      </w:r>
    </w:p>
    <w:p w14:paraId="6DE8E109" w14:textId="77777777" w:rsidR="00B439F3" w:rsidRPr="00B439F3" w:rsidRDefault="00B439F3" w:rsidP="00B439F3">
      <w:pPr>
        <w:numPr>
          <w:ilvl w:val="0"/>
          <w:numId w:val="5"/>
        </w:numPr>
        <w:rPr>
          <w:b/>
          <w:bCs/>
        </w:rPr>
      </w:pPr>
      <w:r w:rsidRPr="00B439F3">
        <w:rPr>
          <w:b/>
          <w:bCs/>
        </w:rPr>
        <w:t>Equal access to evidence shall be provided.</w:t>
      </w:r>
    </w:p>
    <w:p w14:paraId="1A0E101B" w14:textId="77777777" w:rsidR="00B439F3" w:rsidRPr="00B439F3" w:rsidRDefault="00B439F3" w:rsidP="00B439F3">
      <w:pPr>
        <w:numPr>
          <w:ilvl w:val="0"/>
          <w:numId w:val="5"/>
        </w:numPr>
        <w:rPr>
          <w:b/>
          <w:bCs/>
        </w:rPr>
      </w:pPr>
      <w:r w:rsidRPr="00B439F3">
        <w:rPr>
          <w:b/>
          <w:bCs/>
        </w:rPr>
        <w:t>No administrative or professional punishment shall occur prior to investigative findings.</w:t>
      </w:r>
    </w:p>
    <w:p w14:paraId="288C9CC6" w14:textId="77777777" w:rsidR="00B439F3" w:rsidRPr="00B439F3" w:rsidRDefault="006A6B64" w:rsidP="00B439F3">
      <w:pPr>
        <w:rPr>
          <w:b/>
          <w:bCs/>
        </w:rPr>
      </w:pPr>
      <w:r>
        <w:rPr>
          <w:b/>
          <w:bCs/>
        </w:rPr>
        <w:pict w14:anchorId="66C4A084">
          <v:rect id="_x0000_i1032" style="width:0;height:1.5pt" o:hralign="center" o:hrstd="t" o:hr="t" fillcolor="#a0a0a0" stroked="f"/>
        </w:pict>
      </w:r>
    </w:p>
    <w:p w14:paraId="35671DEA" w14:textId="77777777" w:rsidR="00B439F3" w:rsidRPr="00B439F3" w:rsidRDefault="00B439F3" w:rsidP="00B439F3">
      <w:pPr>
        <w:rPr>
          <w:b/>
          <w:bCs/>
        </w:rPr>
      </w:pPr>
      <w:r w:rsidRPr="00B439F3">
        <w:rPr>
          <w:b/>
          <w:bCs/>
        </w:rPr>
        <w:t>SECTION 7. FALSE ACCUSATIONS</w:t>
      </w:r>
    </w:p>
    <w:p w14:paraId="4FF36682" w14:textId="77777777" w:rsidR="00B439F3" w:rsidRPr="00B439F3" w:rsidRDefault="00B439F3" w:rsidP="00B439F3">
      <w:pPr>
        <w:numPr>
          <w:ilvl w:val="0"/>
          <w:numId w:val="6"/>
        </w:numPr>
        <w:rPr>
          <w:b/>
          <w:bCs/>
        </w:rPr>
      </w:pPr>
      <w:r w:rsidRPr="00B439F3">
        <w:rPr>
          <w:b/>
          <w:bCs/>
        </w:rPr>
        <w:t>A false accusation is defined as an intentional fabrication of material facts.</w:t>
      </w:r>
    </w:p>
    <w:p w14:paraId="47B07486" w14:textId="77777777" w:rsidR="00B439F3" w:rsidRPr="00B439F3" w:rsidRDefault="00B439F3" w:rsidP="00B439F3">
      <w:pPr>
        <w:numPr>
          <w:ilvl w:val="0"/>
          <w:numId w:val="6"/>
        </w:numPr>
        <w:rPr>
          <w:b/>
          <w:bCs/>
        </w:rPr>
      </w:pPr>
      <w:r w:rsidRPr="00B439F3">
        <w:rPr>
          <w:b/>
          <w:bCs/>
        </w:rPr>
        <w:t>Penalties shall apply only where intent to deceive is proven by clear and convincing evidence.</w:t>
      </w:r>
    </w:p>
    <w:p w14:paraId="577316B7" w14:textId="77777777" w:rsidR="00B439F3" w:rsidRPr="00B439F3" w:rsidRDefault="00B439F3" w:rsidP="00B439F3">
      <w:pPr>
        <w:numPr>
          <w:ilvl w:val="0"/>
          <w:numId w:val="6"/>
        </w:numPr>
        <w:rPr>
          <w:b/>
          <w:bCs/>
        </w:rPr>
      </w:pPr>
      <w:r w:rsidRPr="00B439F3">
        <w:rPr>
          <w:b/>
          <w:bCs/>
        </w:rPr>
        <w:lastRenderedPageBreak/>
        <w:t>Independent review is required prior to any prosecution for false accusations.</w:t>
      </w:r>
    </w:p>
    <w:p w14:paraId="753B42BE" w14:textId="77777777" w:rsidR="00B439F3" w:rsidRPr="00B439F3" w:rsidRDefault="006A6B64" w:rsidP="00B439F3">
      <w:pPr>
        <w:rPr>
          <w:b/>
          <w:bCs/>
        </w:rPr>
      </w:pPr>
      <w:r>
        <w:rPr>
          <w:b/>
          <w:bCs/>
        </w:rPr>
        <w:pict w14:anchorId="204EC637">
          <v:rect id="_x0000_i1033" style="width:0;height:1.5pt" o:hralign="center" o:hrstd="t" o:hr="t" fillcolor="#a0a0a0" stroked="f"/>
        </w:pict>
      </w:r>
    </w:p>
    <w:p w14:paraId="7D7C722C" w14:textId="77777777" w:rsidR="00B439F3" w:rsidRPr="00B439F3" w:rsidRDefault="00B439F3" w:rsidP="00B439F3">
      <w:pPr>
        <w:rPr>
          <w:b/>
          <w:bCs/>
        </w:rPr>
      </w:pPr>
      <w:r w:rsidRPr="00B439F3">
        <w:rPr>
          <w:b/>
          <w:bCs/>
        </w:rPr>
        <w:t>SECTION 8. REVIEW &amp; REAUTHORIZATION</w:t>
      </w:r>
    </w:p>
    <w:p w14:paraId="2A350BA1" w14:textId="77777777" w:rsidR="00B439F3" w:rsidRPr="00B439F3" w:rsidRDefault="00B439F3" w:rsidP="00B439F3">
      <w:pPr>
        <w:numPr>
          <w:ilvl w:val="0"/>
          <w:numId w:val="7"/>
        </w:numPr>
        <w:rPr>
          <w:b/>
          <w:bCs/>
        </w:rPr>
      </w:pPr>
      <w:r w:rsidRPr="00B439F3">
        <w:rPr>
          <w:b/>
          <w:bCs/>
        </w:rPr>
        <w:t>Congress shall conduct periodic review of this Act.</w:t>
      </w:r>
    </w:p>
    <w:p w14:paraId="500BECE3" w14:textId="77777777" w:rsidR="00B439F3" w:rsidRPr="00B439F3" w:rsidRDefault="00B439F3" w:rsidP="00B439F3">
      <w:pPr>
        <w:numPr>
          <w:ilvl w:val="0"/>
          <w:numId w:val="7"/>
        </w:numPr>
        <w:rPr>
          <w:b/>
          <w:bCs/>
        </w:rPr>
      </w:pPr>
      <w:r w:rsidRPr="00B439F3">
        <w:rPr>
          <w:b/>
          <w:bCs/>
        </w:rPr>
        <w:t>Reauthorization shall be required to prevent misuse, drift, or unintended expansion.</w:t>
      </w:r>
    </w:p>
    <w:p w14:paraId="09B4E85B" w14:textId="77777777" w:rsidR="00B439F3" w:rsidRPr="00B439F3" w:rsidRDefault="00B439F3">
      <w:pPr>
        <w:rPr>
          <w:b/>
          <w:bCs/>
        </w:rPr>
      </w:pPr>
    </w:p>
    <w:sectPr w:rsidR="00B439F3" w:rsidRPr="00B439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169AA"/>
    <w:multiLevelType w:val="multilevel"/>
    <w:tmpl w:val="BF522C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E07FE5"/>
    <w:multiLevelType w:val="multilevel"/>
    <w:tmpl w:val="96165D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1F634BD"/>
    <w:multiLevelType w:val="multilevel"/>
    <w:tmpl w:val="FE4665F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B0F70FF"/>
    <w:multiLevelType w:val="multilevel"/>
    <w:tmpl w:val="6B448D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2CA70C9"/>
    <w:multiLevelType w:val="multilevel"/>
    <w:tmpl w:val="4D80AE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4D274E9"/>
    <w:multiLevelType w:val="multilevel"/>
    <w:tmpl w:val="C00288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BB94B91"/>
    <w:multiLevelType w:val="multilevel"/>
    <w:tmpl w:val="95A200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35151181">
    <w:abstractNumId w:val="0"/>
  </w:num>
  <w:num w:numId="2" w16cid:durableId="913668110">
    <w:abstractNumId w:val="1"/>
  </w:num>
  <w:num w:numId="3" w16cid:durableId="1758479882">
    <w:abstractNumId w:val="6"/>
  </w:num>
  <w:num w:numId="4" w16cid:durableId="1157108806">
    <w:abstractNumId w:val="2"/>
  </w:num>
  <w:num w:numId="5" w16cid:durableId="569923439">
    <w:abstractNumId w:val="5"/>
  </w:num>
  <w:num w:numId="6" w16cid:durableId="2118596377">
    <w:abstractNumId w:val="4"/>
  </w:num>
  <w:num w:numId="7" w16cid:durableId="199151766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39F3"/>
    <w:rsid w:val="001E4C02"/>
    <w:rsid w:val="00493668"/>
    <w:rsid w:val="00934BB6"/>
    <w:rsid w:val="00B439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ED09A9"/>
  <w15:chartTrackingRefBased/>
  <w15:docId w15:val="{55817F22-83CC-4305-B89E-4E36B0C9B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439F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439F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439F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439F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439F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439F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439F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439F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439F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39F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439F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439F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439F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439F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439F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439F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439F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439F3"/>
    <w:rPr>
      <w:rFonts w:eastAsiaTheme="majorEastAsia" w:cstheme="majorBidi"/>
      <w:color w:val="272727" w:themeColor="text1" w:themeTint="D8"/>
    </w:rPr>
  </w:style>
  <w:style w:type="paragraph" w:styleId="Title">
    <w:name w:val="Title"/>
    <w:basedOn w:val="Normal"/>
    <w:next w:val="Normal"/>
    <w:link w:val="TitleChar"/>
    <w:uiPriority w:val="10"/>
    <w:qFormat/>
    <w:rsid w:val="00B439F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439F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439F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439F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439F3"/>
    <w:pPr>
      <w:spacing w:before="160"/>
      <w:jc w:val="center"/>
    </w:pPr>
    <w:rPr>
      <w:i/>
      <w:iCs/>
      <w:color w:val="404040" w:themeColor="text1" w:themeTint="BF"/>
    </w:rPr>
  </w:style>
  <w:style w:type="character" w:customStyle="1" w:styleId="QuoteChar">
    <w:name w:val="Quote Char"/>
    <w:basedOn w:val="DefaultParagraphFont"/>
    <w:link w:val="Quote"/>
    <w:uiPriority w:val="29"/>
    <w:rsid w:val="00B439F3"/>
    <w:rPr>
      <w:i/>
      <w:iCs/>
      <w:color w:val="404040" w:themeColor="text1" w:themeTint="BF"/>
    </w:rPr>
  </w:style>
  <w:style w:type="paragraph" w:styleId="ListParagraph">
    <w:name w:val="List Paragraph"/>
    <w:basedOn w:val="Normal"/>
    <w:uiPriority w:val="34"/>
    <w:qFormat/>
    <w:rsid w:val="00B439F3"/>
    <w:pPr>
      <w:ind w:left="720"/>
      <w:contextualSpacing/>
    </w:pPr>
  </w:style>
  <w:style w:type="character" w:styleId="IntenseEmphasis">
    <w:name w:val="Intense Emphasis"/>
    <w:basedOn w:val="DefaultParagraphFont"/>
    <w:uiPriority w:val="21"/>
    <w:qFormat/>
    <w:rsid w:val="00B439F3"/>
    <w:rPr>
      <w:i/>
      <w:iCs/>
      <w:color w:val="0F4761" w:themeColor="accent1" w:themeShade="BF"/>
    </w:rPr>
  </w:style>
  <w:style w:type="paragraph" w:styleId="IntenseQuote">
    <w:name w:val="Intense Quote"/>
    <w:basedOn w:val="Normal"/>
    <w:next w:val="Normal"/>
    <w:link w:val="IntenseQuoteChar"/>
    <w:uiPriority w:val="30"/>
    <w:qFormat/>
    <w:rsid w:val="00B439F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439F3"/>
    <w:rPr>
      <w:i/>
      <w:iCs/>
      <w:color w:val="0F4761" w:themeColor="accent1" w:themeShade="BF"/>
    </w:rPr>
  </w:style>
  <w:style w:type="character" w:styleId="IntenseReference">
    <w:name w:val="Intense Reference"/>
    <w:basedOn w:val="DefaultParagraphFont"/>
    <w:uiPriority w:val="32"/>
    <w:qFormat/>
    <w:rsid w:val="00B439F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383</Words>
  <Characters>2249</Characters>
  <Application>Microsoft Office Word</Application>
  <DocSecurity>0</DocSecurity>
  <Lines>60</Lines>
  <Paragraphs>44</Paragraphs>
  <ScaleCrop>false</ScaleCrop>
  <Company/>
  <LinksUpToDate>false</LinksUpToDate>
  <CharactersWithSpaces>2588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Oxford Christian Forbes Nordberg</dc:creator>
  <cp:keywords/>
  <dc:description/>
  <cp:lastModifiedBy>Oxford Christian Forbes Nordberg</cp:lastModifiedBy>
  <cp:revision>2</cp:revision>
  <dcterms:created xsi:type="dcterms:W3CDTF">2026-03-21T15:44:00Z</dcterms:created>
  <dcterms:modified xsi:type="dcterms:W3CDTF">2026-03-21T15:44:00Z</dcterms:modified>
</cp:coreProperties>
</file>