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CF59" w14:textId="7EDC2C7F" w:rsidR="00F147BB" w:rsidRPr="00F147BB" w:rsidRDefault="00F147BB" w:rsidP="00F147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Second Opportunity &amp; Community Reintegration Act of 202</w:t>
      </w:r>
      <w:r w:rsidR="000329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9</w:t>
      </w:r>
    </w:p>
    <w:p w14:paraId="3AB66DA9" w14:textId="77777777" w:rsidR="00F147BB" w:rsidRPr="00F147BB" w:rsidRDefault="00F147BB" w:rsidP="00F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Empowering Accountability, Renewal, and Redemption</w:t>
      </w:r>
    </w:p>
    <w:p w14:paraId="0399CEA1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49FF23">
          <v:rect id="_x0000_i1025" style="width:0;height:1.5pt" o:hralign="center" o:hrstd="t" o:hr="t" fillcolor="#a0a0a0" stroked="f"/>
        </w:pict>
      </w:r>
    </w:p>
    <w:p w14:paraId="3E98AEFC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BILL</w:t>
      </w:r>
    </w:p>
    <w:p w14:paraId="027DD1BE" w14:textId="77777777" w:rsidR="00F147BB" w:rsidRPr="00F147BB" w:rsidRDefault="00F147BB" w:rsidP="00F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To reduce recidivism, strengthen public safety, expand workforce participation, support successful community reintegration through faith-inspired second chances, and promote accountability and opportunity for individuals impacted by the criminal justice system, and for other purposes.</w:t>
      </w:r>
    </w:p>
    <w:p w14:paraId="2FE4117C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DCD9590">
          <v:rect id="_x0000_i1026" style="width:0;height:1.5pt" o:hralign="center" o:hrstd="t" o:hr="t" fillcolor="#a0a0a0" stroked="f"/>
        </w:pict>
      </w:r>
    </w:p>
    <w:p w14:paraId="5B7F8303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 it enacted by the Senate and House of Representatives of the United States of America in Congress assembled,</w:t>
      </w:r>
    </w:p>
    <w:p w14:paraId="45D1E713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EFA9D4">
          <v:rect id="_x0000_i1027" style="width:0;height:1.5pt" o:hralign="center" o:hrstd="t" o:hr="t" fillcolor="#a0a0a0" stroked="f"/>
        </w:pict>
      </w:r>
    </w:p>
    <w:p w14:paraId="209AADB4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1. SHORT TITLE.</w:t>
      </w:r>
    </w:p>
    <w:p w14:paraId="69069826" w14:textId="311C5CCE" w:rsidR="00F147BB" w:rsidRPr="00F147BB" w:rsidRDefault="00F147BB" w:rsidP="00F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This Act may be cited as the </w:t>
      </w:r>
      <w:r w:rsidRPr="00F147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“Second Opportunity &amp; Community Reintegration Act of 202</w:t>
      </w:r>
      <w:r w:rsidR="000329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Pr="00F147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.”</w:t>
      </w:r>
    </w:p>
    <w:p w14:paraId="3D07C7C4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52EECD">
          <v:rect id="_x0000_i1028" style="width:0;height:1.5pt" o:hralign="center" o:hrstd="t" o:hr="t" fillcolor="#a0a0a0" stroked="f"/>
        </w:pict>
      </w:r>
    </w:p>
    <w:p w14:paraId="6E877B7F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2. FINDINGS.</w:t>
      </w:r>
    </w:p>
    <w:p w14:paraId="5E99BA69" w14:textId="77777777" w:rsidR="00F147BB" w:rsidRPr="00F147BB" w:rsidRDefault="00F147BB" w:rsidP="00F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Congress finds the following:</w:t>
      </w:r>
    </w:p>
    <w:p w14:paraId="4A9130FA" w14:textId="77777777" w:rsidR="00F147BB" w:rsidRPr="00F147BB" w:rsidRDefault="00F147BB" w:rsidP="00F14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Over 600,000 individuals are released from federal and state correctional facilities each year, per U.S. Department of Justice statistics.</w:t>
      </w:r>
    </w:p>
    <w:p w14:paraId="3F10B0B3" w14:textId="77777777" w:rsidR="00F147BB" w:rsidRPr="00F147BB" w:rsidRDefault="00F147BB" w:rsidP="00F14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A significant percentage of formerly incarcerated individuals face barriers to lawful employment, housing, education, and healthcare.</w:t>
      </w:r>
    </w:p>
    <w:p w14:paraId="7E57A09C" w14:textId="77777777" w:rsidR="00F147BB" w:rsidRPr="00F147BB" w:rsidRDefault="00F147BB" w:rsidP="00F14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Employment, stable housing, and access to treatment are among the strongest predictors of reduced recidivism, as evidenced by the First Step Act's 9.7% recidivism rate for beneficiaries versus 46.2% baseline.</w:t>
      </w:r>
    </w:p>
    <w:p w14:paraId="02B97BDC" w14:textId="77777777" w:rsidR="00F147BB" w:rsidRPr="00F147BB" w:rsidRDefault="00F147BB" w:rsidP="00F14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High recidivism rates impose substantial costs on </w:t>
      </w:r>
      <w:proofErr w:type="gramStart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>taxpayers—e.g</w:t>
      </w:r>
      <w:proofErr w:type="gramEnd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>., Texas's 16.9% rate costs $585 million annually—and undermine public safety.</w:t>
      </w:r>
    </w:p>
    <w:p w14:paraId="20D14BB7" w14:textId="77777777" w:rsidR="00F147BB" w:rsidRPr="00F147BB" w:rsidRDefault="00F147BB" w:rsidP="00F14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Faith-based, nonprofit, and community organizations play a critical role in successful reentry, embodying principles of redemption and renewal central to Christian faith and second chances.</w:t>
      </w:r>
    </w:p>
    <w:p w14:paraId="18526614" w14:textId="77777777" w:rsidR="00F147BB" w:rsidRPr="00F147BB" w:rsidRDefault="00F147BB" w:rsidP="00F14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Accountability, rehabilitation, and opportunity are complementary pillars of justice, building on the Second Chance Act (Senate-passed reauthorization through 2030 via October 2025 NDAA amendment, pending House action), First Step Implementation Act (introduced December 2025), and Safer Supervision Act (introduced October 2025).</w:t>
      </w:r>
    </w:p>
    <w:p w14:paraId="2C22D965" w14:textId="77777777" w:rsidR="00F147BB" w:rsidRPr="00F147BB" w:rsidRDefault="00F147BB" w:rsidP="00F14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Veterans and youth (ages 18–25) warrant targeted support, given higher reform potential per brain science and veteran service needs.</w:t>
      </w:r>
    </w:p>
    <w:p w14:paraId="4FFAC025" w14:textId="77777777" w:rsidR="00F147BB" w:rsidRPr="00F147BB" w:rsidRDefault="00F147BB" w:rsidP="00F14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Technological innovations like AI, blockchain, and neural therapy can enhance efficiency while safeguarding privacy and rights.</w:t>
      </w:r>
    </w:p>
    <w:p w14:paraId="61AA3E14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B9FFE93">
          <v:rect id="_x0000_i1029" style="width:0;height:1.5pt" o:hralign="center" o:hrstd="t" o:hr="t" fillcolor="#a0a0a0" stroked="f"/>
        </w:pict>
      </w:r>
    </w:p>
    <w:p w14:paraId="5B1C8205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3. DEFINITIONS.</w:t>
      </w:r>
    </w:p>
    <w:p w14:paraId="6FB4E436" w14:textId="77777777" w:rsidR="00F147BB" w:rsidRPr="00F147BB" w:rsidRDefault="00F147BB" w:rsidP="00F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For purposes of this Act: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7681"/>
      </w:tblGrid>
      <w:tr w:rsidR="00F147BB" w:rsidRPr="00F147BB" w14:paraId="766CBA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A3E920" w14:textId="77777777" w:rsidR="00F147BB" w:rsidRPr="00F147BB" w:rsidRDefault="00F147BB" w:rsidP="00F1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70332DB0" w14:textId="77777777" w:rsidR="00F147BB" w:rsidRPr="00F147BB" w:rsidRDefault="00F147BB" w:rsidP="00F1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Definition</w:t>
            </w:r>
          </w:p>
        </w:tc>
      </w:tr>
      <w:tr w:rsidR="00F147BB" w:rsidRPr="00F147BB" w14:paraId="7AD6A0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E0971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Returning citizen</w:t>
            </w:r>
          </w:p>
        </w:tc>
        <w:tc>
          <w:tcPr>
            <w:tcW w:w="0" w:type="auto"/>
            <w:vAlign w:val="center"/>
            <w:hideMark/>
          </w:tcPr>
          <w:p w14:paraId="1AFD19E2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individual released from incarceration in a federal, state, or local correctional facility.</w:t>
            </w:r>
          </w:p>
        </w:tc>
      </w:tr>
      <w:tr w:rsidR="00F147BB" w:rsidRPr="00F147BB" w14:paraId="2C8CD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3F766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Eligible individual</w:t>
            </w:r>
          </w:p>
        </w:tc>
        <w:tc>
          <w:tcPr>
            <w:tcW w:w="0" w:type="auto"/>
            <w:vAlign w:val="center"/>
            <w:hideMark/>
          </w:tcPr>
          <w:p w14:paraId="4296C192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 returning citizen or justice-impacted individual who: (a) has completed their term of incarceration or diversion program; (b) is not convicted of a disqualifying violent offense (per 18 U.S.C. § 924(c) for firearms-related violence or FBI Uniform Crime Reporting violent crime categories), sex offense (per 18 U.S.C. Chapter 109A), or three or more felonies; (c) demonstrates cultural competency compliance in programs; and (d) fulfills victim restitution via enforceable protocols, including crypto wallets for traceable payments with </w:t>
            </w:r>
            <w:proofErr w:type="spellStart"/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clawbacks</w:t>
            </w:r>
            <w:proofErr w:type="spellEnd"/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 non-compliance.</w:t>
            </w:r>
          </w:p>
        </w:tc>
      </w:tr>
      <w:tr w:rsidR="00F147BB" w:rsidRPr="00F147BB" w14:paraId="0E6898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D7C01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Qualified employer</w:t>
            </w:r>
          </w:p>
        </w:tc>
        <w:tc>
          <w:tcPr>
            <w:tcW w:w="0" w:type="auto"/>
            <w:vAlign w:val="center"/>
            <w:hideMark/>
          </w:tcPr>
          <w:p w14:paraId="418B0C6D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 employer that hires eligible individuals in compliance with federal and state law, including small business mentorship programs, and receives liability shields from negligent hiring claims for non-violent hires.</w:t>
            </w:r>
          </w:p>
        </w:tc>
      </w:tr>
      <w:tr w:rsidR="00F147BB" w:rsidRPr="00F147BB" w14:paraId="2924B7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2C35F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Community-based organization</w:t>
            </w:r>
          </w:p>
        </w:tc>
        <w:tc>
          <w:tcPr>
            <w:tcW w:w="0" w:type="auto"/>
            <w:vAlign w:val="center"/>
            <w:hideMark/>
          </w:tcPr>
          <w:p w14:paraId="482E0939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Includes nonprofit, faith-based, and local service providers engaged in reentry support; </w:t>
            </w:r>
            <w:proofErr w:type="gramStart"/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excludes</w:t>
            </w:r>
            <w:proofErr w:type="gramEnd"/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for-profit prisons from grant eligibility.</w:t>
            </w:r>
          </w:p>
        </w:tc>
      </w:tr>
    </w:tbl>
    <w:p w14:paraId="009739DE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F6078B">
          <v:rect id="_x0000_i1030" style="width:0;height:1.5pt" o:hralign="center" o:hrstd="t" o:hr="t" fillcolor="#a0a0a0" stroked="f"/>
        </w:pict>
      </w:r>
    </w:p>
    <w:p w14:paraId="4493B9C9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4. PILLAR OF SKILLS &amp; SUSTAINABILITY: WORKFORCE REENTRY &amp; EMPLOYMENT INCENTIVES.</w:t>
      </w:r>
    </w:p>
    <w:p w14:paraId="724B4070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(a) Federal Second Opportunity Hiring Credit</w:t>
      </w:r>
    </w:p>
    <w:p w14:paraId="4BF40DFC" w14:textId="77777777" w:rsidR="00F147BB" w:rsidRPr="00F147BB" w:rsidRDefault="00F147BB" w:rsidP="00F14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 refundable federal tax credit shall be provided to qualified employers who hire eligible individuals.</w:t>
      </w:r>
    </w:p>
    <w:p w14:paraId="6CC95BC7" w14:textId="77777777" w:rsidR="00F147BB" w:rsidRPr="00F147BB" w:rsidRDefault="00F147BB" w:rsidP="00F14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>credit shall</w:t>
      </w:r>
      <w:proofErr w:type="gramEnd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 equal up to $6,000 per eligible individual, phased as 50 percent after 6 months and 50 percent after 12 months of employment.</w:t>
      </w:r>
    </w:p>
    <w:p w14:paraId="03D2DC54" w14:textId="77777777" w:rsidR="00F147BB" w:rsidRPr="00F147BB" w:rsidRDefault="00F147BB" w:rsidP="00F14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147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Sunset.</w:t>
      </w: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—</w:t>
      </w:r>
      <w:proofErr w:type="gramEnd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>This credit expires after fiscal year 2032, subject to Department of Justice renewal based on evaluation.</w:t>
      </w:r>
    </w:p>
    <w:p w14:paraId="4B5B3FE2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(b) Skills &amp; Credentialing Programs</w:t>
      </w:r>
    </w:p>
    <w:p w14:paraId="06AE91E1" w14:textId="77777777" w:rsidR="00F147BB" w:rsidRPr="00F147BB" w:rsidRDefault="00F147BB" w:rsidP="00F14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The Department of Labor shall expand access to industry-recognized credentials, apprenticeships, workforce training (including tech/coding and green job pipelines via renewables partnerships), and veteran-specific mentorship prior to and following release.</w:t>
      </w:r>
    </w:p>
    <w:p w14:paraId="721F10DE" w14:textId="77777777" w:rsidR="00F147BB" w:rsidRPr="00F147BB" w:rsidRDefault="00F147BB" w:rsidP="00F14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Programs shall include cultural competency training to address diversity and reduce bias.</w:t>
      </w:r>
    </w:p>
    <w:p w14:paraId="2CD71454" w14:textId="77777777" w:rsidR="00F147BB" w:rsidRPr="00F147BB" w:rsidRDefault="00F147BB" w:rsidP="00F14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Federal </w:t>
      </w:r>
      <w:proofErr w:type="gramStart"/>
      <w:r w:rsidRPr="00F147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preemption.</w:t>
      </w: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—</w:t>
      </w:r>
      <w:proofErr w:type="gramEnd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>Override state occupational licensing barriers for non-violent returnees to facilitate interstate mobility.</w:t>
      </w:r>
    </w:p>
    <w:p w14:paraId="5233A1C6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(c) Phased Incentives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2580"/>
        <w:gridCol w:w="2782"/>
      </w:tblGrid>
      <w:tr w:rsidR="00F147BB" w:rsidRPr="00F147BB" w14:paraId="5F2A867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D1F8CE" w14:textId="77777777" w:rsidR="00F147BB" w:rsidRPr="00F147BB" w:rsidRDefault="00F147BB" w:rsidP="00F1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0F42C271" w14:textId="77777777" w:rsidR="00F147BB" w:rsidRPr="00F147BB" w:rsidRDefault="00F147BB" w:rsidP="00F1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Incentive</w:t>
            </w:r>
          </w:p>
        </w:tc>
        <w:tc>
          <w:tcPr>
            <w:tcW w:w="0" w:type="auto"/>
            <w:vAlign w:val="center"/>
            <w:hideMark/>
          </w:tcPr>
          <w:p w14:paraId="0F2A2718" w14:textId="77777777" w:rsidR="00F147BB" w:rsidRPr="00F147BB" w:rsidRDefault="00F147BB" w:rsidP="00F1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Outcome Target</w:t>
            </w:r>
          </w:p>
        </w:tc>
      </w:tr>
      <w:tr w:rsidR="00F147BB" w:rsidRPr="00F147BB" w14:paraId="5F633B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5F073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Pre-Release</w:t>
            </w:r>
          </w:p>
        </w:tc>
        <w:tc>
          <w:tcPr>
            <w:tcW w:w="0" w:type="auto"/>
            <w:vAlign w:val="center"/>
            <w:hideMark/>
          </w:tcPr>
          <w:p w14:paraId="30966ED4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VR-simulated job training</w:t>
            </w:r>
          </w:p>
        </w:tc>
        <w:tc>
          <w:tcPr>
            <w:tcW w:w="0" w:type="auto"/>
            <w:vAlign w:val="center"/>
            <w:hideMark/>
          </w:tcPr>
          <w:p w14:paraId="16268905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90% completion rate</w:t>
            </w:r>
          </w:p>
        </w:tc>
      </w:tr>
      <w:tr w:rsidR="00F147BB" w:rsidRPr="00F147BB" w14:paraId="4D270C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4C118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Post-Release</w:t>
            </w:r>
          </w:p>
        </w:tc>
        <w:tc>
          <w:tcPr>
            <w:tcW w:w="0" w:type="auto"/>
            <w:vAlign w:val="center"/>
            <w:hideMark/>
          </w:tcPr>
          <w:p w14:paraId="54A0BBD7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Micro-grants for startups</w:t>
            </w:r>
          </w:p>
        </w:tc>
        <w:tc>
          <w:tcPr>
            <w:tcW w:w="0" w:type="auto"/>
            <w:vAlign w:val="center"/>
            <w:hideMark/>
          </w:tcPr>
          <w:p w14:paraId="35530657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20% self-employment boost</w:t>
            </w:r>
          </w:p>
        </w:tc>
      </w:tr>
      <w:tr w:rsidR="00F147BB" w:rsidRPr="00F147BB" w14:paraId="23245E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EBD02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Long-Term</w:t>
            </w:r>
          </w:p>
        </w:tc>
        <w:tc>
          <w:tcPr>
            <w:tcW w:w="0" w:type="auto"/>
            <w:vAlign w:val="center"/>
            <w:hideMark/>
          </w:tcPr>
          <w:p w14:paraId="4675DEED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AI-matched mentorship</w:t>
            </w:r>
          </w:p>
        </w:tc>
        <w:tc>
          <w:tcPr>
            <w:tcW w:w="0" w:type="auto"/>
            <w:vAlign w:val="center"/>
            <w:hideMark/>
          </w:tcPr>
          <w:p w14:paraId="32F604D6" w14:textId="77777777" w:rsidR="00F147BB" w:rsidRPr="00F147BB" w:rsidRDefault="00F147BB" w:rsidP="00F14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47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10% below state recidivism</w:t>
            </w:r>
          </w:p>
        </w:tc>
      </w:tr>
    </w:tbl>
    <w:p w14:paraId="4542CB00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8C5DE6">
          <v:rect id="_x0000_i1031" style="width:0;height:1.5pt" o:hralign="center" o:hrstd="t" o:hr="t" fillcolor="#a0a0a0" stroked="f"/>
        </w:pict>
      </w:r>
    </w:p>
    <w:p w14:paraId="2E7291B9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5. PILLAR OF FAITH &amp; FAMILY: HOUSING STABILITY &amp; TRANSITIONAL SUPPORT.</w:t>
      </w:r>
    </w:p>
    <w:p w14:paraId="7C4D2E0F" w14:textId="77777777" w:rsidR="00F147BB" w:rsidRPr="00F147BB" w:rsidRDefault="00F147BB" w:rsidP="00F147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The Department of Housing and Urban Development shall expand transitional housing grants for returning citizens, with anti-discrimination protections for providers.</w:t>
      </w:r>
    </w:p>
    <w:p w14:paraId="37ECFD12" w14:textId="77777777" w:rsidR="00F147BB" w:rsidRPr="00F147BB" w:rsidRDefault="00F147BB" w:rsidP="00F147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Funds may be used for temporary housing, reentry case management, transportation assistance, family reunification services, and eviction prevention counseling (reducing recidivism risk by 25%).</w:t>
      </w:r>
    </w:p>
    <w:p w14:paraId="19B56CB0" w14:textId="77777777" w:rsidR="00F147BB" w:rsidRPr="00F147BB" w:rsidRDefault="00F147BB" w:rsidP="00F147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Participation shall require compliance with program rules and case plans, including data sharing with state entities like Texas's Reentry Task Force.</w:t>
      </w:r>
    </w:p>
    <w:p w14:paraId="60176AE9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FB2ACD">
          <v:rect id="_x0000_i1032" style="width:0;height:1.5pt" o:hralign="center" o:hrstd="t" o:hr="t" fillcolor="#a0a0a0" stroked="f"/>
        </w:pict>
      </w:r>
    </w:p>
    <w:p w14:paraId="7D6D57B7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6. PILLAR OF ACCOUNTABILITY &amp; ASSESSMENT: RECORD RELIEF &amp; REINTEGRATION.</w:t>
      </w:r>
    </w:p>
    <w:p w14:paraId="66CAF6F9" w14:textId="77777777" w:rsidR="00F147BB" w:rsidRPr="00F147BB" w:rsidRDefault="00F147BB" w:rsidP="00F14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Eligible individuals convicted of non-violent offenses may petition for record </w:t>
      </w:r>
      <w:proofErr w:type="gramStart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>sealing</w:t>
      </w:r>
      <w:proofErr w:type="gramEnd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proofErr w:type="gramStart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>expungement</w:t>
      </w:r>
      <w:proofErr w:type="gramEnd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 after a five-year period of lawful conduct post-release, with proof of steady employment or education.</w:t>
      </w:r>
    </w:p>
    <w:p w14:paraId="13719317" w14:textId="77777777" w:rsidR="00F147BB" w:rsidRPr="00F147BB" w:rsidRDefault="00F147BB" w:rsidP="00F14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 relief shall be automatic; judicial review, victim notification, and federal overrides for low-level state records (for interstate movers) shall apply.</w:t>
      </w:r>
    </w:p>
    <w:p w14:paraId="07248AA9" w14:textId="77777777" w:rsidR="00F147BB" w:rsidRPr="00F147BB" w:rsidRDefault="00F147BB" w:rsidP="00F14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Blockchain-secured platforms shall implement tamper-proof, opt-in blockchain systems with encryption for record verification, ensuring privacy via user consent and minimizing third-party access.</w:t>
      </w:r>
    </w:p>
    <w:p w14:paraId="1FE83CCE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5A5EA30">
          <v:rect id="_x0000_i1033" style="width:0;height:1.5pt" o:hralign="center" o:hrstd="t" o:hr="t" fillcolor="#a0a0a0" stroked="f"/>
        </w:pict>
      </w:r>
    </w:p>
    <w:p w14:paraId="2B716249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7. MENTAL HEALTH, SUBSTANCE USE, &amp; ACCOUNTABILITY SERVICES.</w:t>
      </w:r>
    </w:p>
    <w:p w14:paraId="37D44DE2" w14:textId="77777777" w:rsidR="00F147BB" w:rsidRPr="00F147BB" w:rsidRDefault="00F147BB" w:rsidP="00F147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The Department of Justice shall expand grants for substance abuse treatment, mental health counseling, trauma-informed care (including neural tech pilots for voluntary therapy, halving recidivism drivers), and youth-specific tracks (ages 18–25).</w:t>
      </w:r>
    </w:p>
    <w:p w14:paraId="66BC95E4" w14:textId="77777777" w:rsidR="00F147BB" w:rsidRPr="00F147BB" w:rsidRDefault="00F147BB" w:rsidP="00F147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Participation may be required as a condition of reentry support, aligned with Bipartisan Safer Communities Act funding.</w:t>
      </w:r>
    </w:p>
    <w:p w14:paraId="6BCF2DE8" w14:textId="77777777" w:rsidR="00F147BB" w:rsidRPr="00F147BB" w:rsidRDefault="00F147BB" w:rsidP="00F147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AI-driven risk tools shall mandate 85 percent accurate AI assessments for parole and supervision to target high-risk cases.</w:t>
      </w:r>
    </w:p>
    <w:p w14:paraId="06211492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162CF9">
          <v:rect id="_x0000_i1034" style="width:0;height:1.5pt" o:hralign="center" o:hrstd="t" o:hr="t" fillcolor="#a0a0a0" stroked="f"/>
        </w:pict>
      </w:r>
    </w:p>
    <w:p w14:paraId="3E1EDF1C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8. COMMUNITY &amp; FAITH-BASED PARTNERSHIPS.</w:t>
      </w:r>
    </w:p>
    <w:p w14:paraId="4162063F" w14:textId="77777777" w:rsidR="00F147BB" w:rsidRPr="00F147BB" w:rsidRDefault="00F147BB" w:rsidP="00F147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Federal agencies may award grants to qualified community-based and faith-based organizations without discrimination based on religious affiliation.</w:t>
      </w:r>
    </w:p>
    <w:p w14:paraId="689666E4" w14:textId="77777777" w:rsidR="00F147BB" w:rsidRPr="00F147BB" w:rsidRDefault="00F147BB" w:rsidP="00F147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Such organizations shall uphold constitutional protections, provide voluntary participation, and receive outcome-based bonuses (e.g., additional funding for 80 percent employment placement).</w:t>
      </w:r>
    </w:p>
    <w:p w14:paraId="6CF62805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C817C2">
          <v:rect id="_x0000_i1035" style="width:0;height:1.5pt" o:hralign="center" o:hrstd="t" o:hr="t" fillcolor="#a0a0a0" stroked="f"/>
        </w:pict>
      </w:r>
    </w:p>
    <w:p w14:paraId="3A6A36F0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9. PUBLIC SAFETY &amp; LAW ENFORCEMENT COORDINATION.</w:t>
      </w:r>
    </w:p>
    <w:p w14:paraId="17CA570D" w14:textId="77777777" w:rsidR="00F147BB" w:rsidRPr="00F147BB" w:rsidRDefault="00F147BB" w:rsidP="00F147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Nothing in this Act shall limit the authority of law enforcement.</w:t>
      </w:r>
    </w:p>
    <w:p w14:paraId="487A5A99" w14:textId="77777777" w:rsidR="00F147BB" w:rsidRPr="00F147BB" w:rsidRDefault="00F147BB" w:rsidP="00F147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Programs funded under this Act shall prioritize risk assessment, supervision compliance, community safety outcomes, and pilots in high-need districts.</w:t>
      </w:r>
    </w:p>
    <w:p w14:paraId="18F2875C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1445C5E">
          <v:rect id="_x0000_i1036" style="width:0;height:1.5pt" o:hralign="center" o:hrstd="t" o:hr="t" fillcolor="#a0a0a0" stroked="f"/>
        </w:pict>
      </w:r>
    </w:p>
    <w:p w14:paraId="3254C020" w14:textId="77777777" w:rsid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B3F9DDA" w14:textId="5E1DA521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SECTION 10. REPORTING &amp; OVERSIGHT.</w:t>
      </w:r>
    </w:p>
    <w:p w14:paraId="42978E56" w14:textId="77777777" w:rsidR="00F147BB" w:rsidRPr="00F147BB" w:rsidRDefault="00F147BB" w:rsidP="00F147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The Attorney General shall submit an annual report to Congress detailing program participation, employment outcomes, recidivism rates (targeting a 15 percent reduction from baselines), cost savings via cost-benefit analysis, and racial disparity metrics.</w:t>
      </w:r>
    </w:p>
    <w:p w14:paraId="4B3C406C" w14:textId="77777777" w:rsidR="00F147BB" w:rsidRPr="00F147BB" w:rsidRDefault="00F147BB" w:rsidP="00F147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Programs failing to demonstrate effectiveness may be modified or terminated.</w:t>
      </w:r>
    </w:p>
    <w:p w14:paraId="61805E80" w14:textId="77777777" w:rsidR="00F147BB" w:rsidRPr="00F147BB" w:rsidRDefault="00F147BB" w:rsidP="00F147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Biennial GAO audits shall require independent audits every two years to sunset ineffective grants and maintain public dashboards for real-time outcome tracking.</w:t>
      </w:r>
    </w:p>
    <w:p w14:paraId="14B64A97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987BC3">
          <v:rect id="_x0000_i1037" style="width:0;height:1.5pt" o:hralign="center" o:hrstd="t" o:hr="t" fillcolor="#a0a0a0" stroked="f"/>
        </w:pict>
      </w:r>
    </w:p>
    <w:p w14:paraId="30584086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11. AUTHORIZATION OF APPROPRIATIONS.</w:t>
      </w:r>
    </w:p>
    <w:p w14:paraId="44B01AF6" w14:textId="77777777" w:rsidR="00F147BB" w:rsidRPr="00F147BB" w:rsidRDefault="00F147BB" w:rsidP="00F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There are authorized to be appropriated </w:t>
      </w:r>
      <w:r w:rsidRPr="00F147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more than $400,000,000 per fiscal year</w:t>
      </w:r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 as may be necessary to carry out this Act for fiscal years 2027 through 2032.</w:t>
      </w:r>
    </w:p>
    <w:p w14:paraId="330737BE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2D093BF">
          <v:rect id="_x0000_i1038" style="width:0;height:1.5pt" o:hralign="center" o:hrstd="t" o:hr="t" fillcolor="#a0a0a0" stroked="f"/>
        </w:pict>
      </w:r>
    </w:p>
    <w:p w14:paraId="36F24ED6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12. SEVERABILITY.</w:t>
      </w:r>
    </w:p>
    <w:p w14:paraId="08C74748" w14:textId="77777777" w:rsidR="00F147BB" w:rsidRPr="00F147BB" w:rsidRDefault="00F147BB" w:rsidP="00F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If any provision of this Act, or the application thereof to any person or circumstance, </w:t>
      </w:r>
      <w:proofErr w:type="gramStart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>is held</w:t>
      </w:r>
      <w:proofErr w:type="gramEnd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 invalid, the remainder of the Act and the application of such provision to other </w:t>
      </w:r>
      <w:proofErr w:type="gramStart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>persons</w:t>
      </w:r>
      <w:proofErr w:type="gramEnd"/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 or circumstances shall not be affected.</w:t>
      </w:r>
    </w:p>
    <w:p w14:paraId="600638F8" w14:textId="77777777" w:rsidR="00F147BB" w:rsidRPr="00F147BB" w:rsidRDefault="00CC19DE" w:rsidP="00F147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6C0F129">
          <v:rect id="_x0000_i1039" style="width:0;height:1.5pt" o:hralign="center" o:hrstd="t" o:hr="t" fillcolor="#a0a0a0" stroked="f"/>
        </w:pict>
      </w:r>
    </w:p>
    <w:p w14:paraId="69C47B8D" w14:textId="77777777" w:rsidR="00F147BB" w:rsidRPr="00F147BB" w:rsidRDefault="00F147BB" w:rsidP="00F14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4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13. EFFECTIVE DATE.</w:t>
      </w:r>
    </w:p>
    <w:p w14:paraId="31C4BAEC" w14:textId="77777777" w:rsidR="00F147BB" w:rsidRPr="00F147BB" w:rsidRDefault="00F147BB" w:rsidP="00F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7BB">
        <w:rPr>
          <w:rFonts w:ascii="Times New Roman" w:eastAsia="Times New Roman" w:hAnsi="Times New Roman" w:cs="Times New Roman"/>
          <w:kern w:val="0"/>
          <w14:ligatures w14:val="none"/>
        </w:rPr>
        <w:t xml:space="preserve">This Act shall take effect </w:t>
      </w:r>
      <w:r w:rsidRPr="00F147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3, 2027</w:t>
      </w:r>
      <w:r w:rsidRPr="00F147BB">
        <w:rPr>
          <w:rFonts w:ascii="Times New Roman" w:eastAsia="Times New Roman" w:hAnsi="Times New Roman" w:cs="Times New Roman"/>
          <w:kern w:val="0"/>
          <w14:ligatures w14:val="none"/>
        </w:rPr>
        <w:t>, following the commencement of the 120th Congress.</w:t>
      </w:r>
    </w:p>
    <w:sectPr w:rsidR="00F147BB" w:rsidRPr="00F14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996"/>
    <w:multiLevelType w:val="multilevel"/>
    <w:tmpl w:val="904E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D24B1"/>
    <w:multiLevelType w:val="multilevel"/>
    <w:tmpl w:val="B8FE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E33C5"/>
    <w:multiLevelType w:val="multilevel"/>
    <w:tmpl w:val="7242B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C1364"/>
    <w:multiLevelType w:val="multilevel"/>
    <w:tmpl w:val="516E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81791"/>
    <w:multiLevelType w:val="multilevel"/>
    <w:tmpl w:val="800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24B44"/>
    <w:multiLevelType w:val="multilevel"/>
    <w:tmpl w:val="573AC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05195"/>
    <w:multiLevelType w:val="multilevel"/>
    <w:tmpl w:val="2672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B0BE9"/>
    <w:multiLevelType w:val="multilevel"/>
    <w:tmpl w:val="5CCEA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0458F"/>
    <w:multiLevelType w:val="multilevel"/>
    <w:tmpl w:val="8CEC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76303"/>
    <w:multiLevelType w:val="multilevel"/>
    <w:tmpl w:val="465CA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F64E1"/>
    <w:multiLevelType w:val="multilevel"/>
    <w:tmpl w:val="CEE8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729903">
    <w:abstractNumId w:val="3"/>
  </w:num>
  <w:num w:numId="2" w16cid:durableId="475029860">
    <w:abstractNumId w:val="1"/>
  </w:num>
  <w:num w:numId="3" w16cid:durableId="177738358">
    <w:abstractNumId w:val="6"/>
  </w:num>
  <w:num w:numId="4" w16cid:durableId="1728651014">
    <w:abstractNumId w:val="9"/>
  </w:num>
  <w:num w:numId="5" w16cid:durableId="2141800802">
    <w:abstractNumId w:val="0"/>
  </w:num>
  <w:num w:numId="6" w16cid:durableId="631325356">
    <w:abstractNumId w:val="10"/>
  </w:num>
  <w:num w:numId="7" w16cid:durableId="1777022080">
    <w:abstractNumId w:val="2"/>
  </w:num>
  <w:num w:numId="8" w16cid:durableId="80875962">
    <w:abstractNumId w:val="7"/>
  </w:num>
  <w:num w:numId="9" w16cid:durableId="565993753">
    <w:abstractNumId w:val="5"/>
  </w:num>
  <w:num w:numId="10" w16cid:durableId="1355115585">
    <w:abstractNumId w:val="8"/>
  </w:num>
  <w:num w:numId="11" w16cid:durableId="1862930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0E"/>
    <w:rsid w:val="000329E4"/>
    <w:rsid w:val="001E4C02"/>
    <w:rsid w:val="004E770E"/>
    <w:rsid w:val="007B6E37"/>
    <w:rsid w:val="00934BB6"/>
    <w:rsid w:val="00CD4836"/>
    <w:rsid w:val="00D3661F"/>
    <w:rsid w:val="00F1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9D12"/>
  <w15:chartTrackingRefBased/>
  <w15:docId w15:val="{E1C2D712-53CF-4761-9CAD-1703FCA9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7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47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F7E8E-2EAF-4709-970B-986A5B8A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6987</Characters>
  <Application>Microsoft Office Word</Application>
  <DocSecurity>0</DocSecurity>
  <Lines>166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Oxford Christian Forbes Nordberg</dc:creator>
  <cp:keywords/>
  <dc:description/>
  <cp:lastModifiedBy>Oxford Christian Forbes Nordberg</cp:lastModifiedBy>
  <cp:revision>2</cp:revision>
  <dcterms:created xsi:type="dcterms:W3CDTF">2026-03-21T15:35:00Z</dcterms:created>
  <dcterms:modified xsi:type="dcterms:W3CDTF">2026-03-21T15:35:00Z</dcterms:modified>
</cp:coreProperties>
</file>