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FE70" w14:textId="6B05AA7C" w:rsidR="001C423B" w:rsidRDefault="00F73EEF">
      <w:pPr>
        <w:pStyle w:val="Heading1"/>
      </w:pPr>
      <w:bookmarkStart w:id="0" w:name="X2716740219aff254686673327247aea1a30088f"/>
      <w:r>
        <w:t>Healthy Food Access Modernization Act of 202</w:t>
      </w:r>
      <w:r w:rsidR="00F5057B">
        <w:t>9</w:t>
      </w:r>
    </w:p>
    <w:p w14:paraId="5247DCD6" w14:textId="2F2F6031" w:rsidR="001C423B" w:rsidRDefault="00F73EEF">
      <w:pPr>
        <w:pStyle w:val="FirstParagraph"/>
      </w:pPr>
      <w:proofErr w:type="gramStart"/>
      <w:r>
        <w:t>12</w:t>
      </w:r>
      <w:r w:rsidR="00F5057B">
        <w:t>1</w:t>
      </w:r>
      <w:r>
        <w:t>TH</w:t>
      </w:r>
      <w:proofErr w:type="gramEnd"/>
      <w:r>
        <w:t xml:space="preserve"> CONGRESS — 1ST SESSION</w:t>
      </w:r>
    </w:p>
    <w:p w14:paraId="29EFE8E4" w14:textId="77777777" w:rsidR="001C423B" w:rsidRDefault="00F73EEF">
      <w:pPr>
        <w:pStyle w:val="BodyText"/>
      </w:pPr>
      <w:r>
        <w:t>A BILL</w:t>
      </w:r>
    </w:p>
    <w:p w14:paraId="73C642EC" w14:textId="77777777" w:rsidR="001C423B" w:rsidRDefault="00F73EEF">
      <w:pPr>
        <w:pStyle w:val="BodyText"/>
      </w:pPr>
      <w:r>
        <w:t>To amend section 4206 of the Agricultural Act of 2014 (7 U.S.C. § 6953) to modernize and strengthen the Healthy Food Financing Initiative; to establish a pilot phase with performance-based expansion; to increase transparency, guardrails, and private-sector leverage; and for other purposes.</w:t>
      </w:r>
    </w:p>
    <w:p w14:paraId="18025E9C" w14:textId="77777777" w:rsidR="001C423B" w:rsidRDefault="00F72B6A">
      <w:r>
        <w:pict w14:anchorId="30EAE4CE">
          <v:rect id="_x0000_i1025" style="width:0;height:1.5pt" o:hralign="center" o:hrstd="t" o:hr="t"/>
        </w:pict>
      </w:r>
    </w:p>
    <w:p w14:paraId="2DF4385A" w14:textId="77777777" w:rsidR="001C423B" w:rsidRDefault="00F73EEF">
      <w:pPr>
        <w:pStyle w:val="Heading2"/>
      </w:pPr>
      <w:bookmarkStart w:id="1" w:name="section-1.-short-title"/>
      <w:r>
        <w:t>SECTION 1. SHORT TITLE</w:t>
      </w:r>
    </w:p>
    <w:p w14:paraId="0D229895" w14:textId="14750D8A" w:rsidR="001C423B" w:rsidRDefault="00F73EEF">
      <w:pPr>
        <w:pStyle w:val="FirstParagraph"/>
      </w:pPr>
      <w:r>
        <w:t>This Act may be cited as the “Healthy Food Access Modernization Act of 202</w:t>
      </w:r>
      <w:r w:rsidR="00F5057B">
        <w:t>9</w:t>
      </w:r>
      <w:r>
        <w:t>.”</w:t>
      </w:r>
    </w:p>
    <w:p w14:paraId="03445556" w14:textId="77777777" w:rsidR="001C423B" w:rsidRDefault="00F72B6A">
      <w:r>
        <w:pict w14:anchorId="3E586F61">
          <v:rect id="_x0000_i1026" style="width:0;height:1.5pt" o:hralign="center" o:hrstd="t" o:hr="t"/>
        </w:pict>
      </w:r>
    </w:p>
    <w:p w14:paraId="6F8A8979" w14:textId="77777777" w:rsidR="001C423B" w:rsidRDefault="00F73EEF">
      <w:pPr>
        <w:pStyle w:val="Heading2"/>
      </w:pPr>
      <w:bookmarkStart w:id="2" w:name="X99efea638fa3560332c060d70beaa76523e9bb4"/>
      <w:bookmarkEnd w:id="1"/>
      <w:r>
        <w:t>SECTION 2. AMENDMENT TO HEALTHY FOOD FINANCING INITIATIVE</w:t>
      </w:r>
    </w:p>
    <w:p w14:paraId="30C8E0DE" w14:textId="77777777" w:rsidR="001C423B" w:rsidRDefault="00F73EEF">
      <w:pPr>
        <w:pStyle w:val="FirstParagraph"/>
      </w:pPr>
      <w:r>
        <w:t>Section 4206 of the Agricultural Act of 2014 (7 U.S.C. § 6953) is amended as follows:</w:t>
      </w:r>
    </w:p>
    <w:p w14:paraId="2567836F" w14:textId="77777777" w:rsidR="001C423B" w:rsidRDefault="00F72B6A">
      <w:r>
        <w:pict w14:anchorId="61B5AD16">
          <v:rect id="_x0000_i1027" style="width:0;height:1.5pt" o:hralign="center" o:hrstd="t" o:hr="t"/>
        </w:pict>
      </w:r>
    </w:p>
    <w:p w14:paraId="0F2A0A8D" w14:textId="77777777" w:rsidR="001C423B" w:rsidRDefault="00F73EEF">
      <w:pPr>
        <w:pStyle w:val="Heading2"/>
      </w:pPr>
      <w:bookmarkStart w:id="3" w:name="section-3.-definitions"/>
      <w:bookmarkEnd w:id="2"/>
      <w:r>
        <w:t>SECTION 3. DEFINITIONS</w:t>
      </w:r>
    </w:p>
    <w:p w14:paraId="5AE372CD" w14:textId="77777777" w:rsidR="001C423B" w:rsidRDefault="00F73EEF">
      <w:pPr>
        <w:pStyle w:val="FirstParagraph"/>
      </w:pPr>
      <w:r>
        <w:t>For purposes of this section:</w:t>
      </w:r>
    </w:p>
    <w:p w14:paraId="62B8096C" w14:textId="77777777" w:rsidR="001C423B" w:rsidRDefault="00F73EEF">
      <w:pPr>
        <w:numPr>
          <w:ilvl w:val="0"/>
          <w:numId w:val="2"/>
        </w:numPr>
      </w:pPr>
      <w:r>
        <w:t>“Eligible Community” means a census tract designated as low-income and low-access under the USDA Food Access Research Atlas (2020–2025 data), or a persistent-poverty county as defined by the USDA Economic Research Service (20 percent or more poverty in each of the last four decennial censuses).</w:t>
      </w:r>
    </w:p>
    <w:p w14:paraId="494E641A" w14:textId="77777777" w:rsidR="001C423B" w:rsidRDefault="00F73EEF">
      <w:pPr>
        <w:numPr>
          <w:ilvl w:val="0"/>
          <w:numId w:val="2"/>
        </w:numPr>
      </w:pPr>
      <w:r>
        <w:t>“Independent Retailer” means a food retail business operating fewer than 20 locations nationwide.</w:t>
      </w:r>
    </w:p>
    <w:p w14:paraId="5F631A8D" w14:textId="77777777" w:rsidR="001C423B" w:rsidRDefault="00F73EEF">
      <w:pPr>
        <w:numPr>
          <w:ilvl w:val="0"/>
          <w:numId w:val="2"/>
        </w:numPr>
      </w:pPr>
      <w:r>
        <w:t>“Healthy Staple Foods” shall have the meaning provided in 7 C.F.R. § 271.2 and shall include fresh fruits and vegetables, whole grains, dairy, and lean proteins.</w:t>
      </w:r>
    </w:p>
    <w:p w14:paraId="77FE7CA5" w14:textId="77777777" w:rsidR="001C423B" w:rsidRDefault="00F73EEF">
      <w:pPr>
        <w:numPr>
          <w:ilvl w:val="0"/>
          <w:numId w:val="2"/>
        </w:numPr>
      </w:pPr>
      <w:r>
        <w:t>“Major Capital Project” means construction, renovation, or equipment acquisition directly related to food retail operations.</w:t>
      </w:r>
    </w:p>
    <w:p w14:paraId="7900B595" w14:textId="77777777" w:rsidR="001C423B" w:rsidRDefault="00F72B6A">
      <w:r>
        <w:pict w14:anchorId="11BDFE76">
          <v:rect id="_x0000_i1028" style="width:0;height:1.5pt" o:hralign="center" o:hrstd="t" o:hr="t"/>
        </w:pict>
      </w:r>
    </w:p>
    <w:p w14:paraId="2B4307D9" w14:textId="77777777" w:rsidR="001C423B" w:rsidRDefault="00F73EEF">
      <w:pPr>
        <w:pStyle w:val="Heading2"/>
      </w:pPr>
      <w:bookmarkStart w:id="4" w:name="section-4.-pilot-program"/>
      <w:bookmarkEnd w:id="3"/>
      <w:r>
        <w:lastRenderedPageBreak/>
        <w:t>SECTION 4. PILOT PROGRAM</w:t>
      </w:r>
    </w:p>
    <w:p w14:paraId="4590C6E8" w14:textId="77777777" w:rsidR="001C423B" w:rsidRDefault="00F73EEF">
      <w:pPr>
        <w:numPr>
          <w:ilvl w:val="0"/>
          <w:numId w:val="3"/>
        </w:numPr>
      </w:pPr>
      <w:r>
        <w:t>Pilot Phase. The Secretary of Agriculture, acting through USDA Rural Development, shall implement a five-year pilot program selecting not fewer than 12 and not more than 15 Eligible Communities through a competitive Notice of Funding Opportunity published in the Federal Register.</w:t>
      </w:r>
    </w:p>
    <w:p w14:paraId="5E2B7929" w14:textId="77777777" w:rsidR="001C423B" w:rsidRDefault="00F73EEF">
      <w:pPr>
        <w:numPr>
          <w:ilvl w:val="0"/>
          <w:numId w:val="3"/>
        </w:numPr>
      </w:pPr>
      <w:r>
        <w:t>Objective Criteria. The Secretary shall promulgate regulations within 180 days of enactment specifying objective, quantifiable scoring criteria, including:</w:t>
      </w:r>
    </w:p>
    <w:p w14:paraId="44D413A7" w14:textId="77777777" w:rsidR="001C423B" w:rsidRDefault="00F73EEF">
      <w:pPr>
        <w:pStyle w:val="Compact"/>
        <w:numPr>
          <w:ilvl w:val="0"/>
          <w:numId w:val="4"/>
        </w:numPr>
      </w:pPr>
      <w:r>
        <w:t>Demonstrated private-sector matching funds of not less than 1:1;</w:t>
      </w:r>
      <w:r>
        <w:br/>
      </w:r>
    </w:p>
    <w:p w14:paraId="1702CDE1" w14:textId="77777777" w:rsidR="001C423B" w:rsidRDefault="00F73EEF">
      <w:pPr>
        <w:pStyle w:val="Compact"/>
        <w:numPr>
          <w:ilvl w:val="0"/>
          <w:numId w:val="4"/>
        </w:numPr>
      </w:pPr>
      <w:r>
        <w:t>Long-term business viability plan (minimum five-year projection);</w:t>
      </w:r>
      <w:r>
        <w:br/>
      </w:r>
    </w:p>
    <w:p w14:paraId="61A0ECE7" w14:textId="77777777" w:rsidR="001C423B" w:rsidRDefault="00F73EEF">
      <w:pPr>
        <w:pStyle w:val="Compact"/>
        <w:numPr>
          <w:ilvl w:val="0"/>
          <w:numId w:val="4"/>
        </w:numPr>
      </w:pPr>
      <w:r>
        <w:t>Commitment that at least 30 percent of sales floor space be dedicated to Healthy Staple Foods;</w:t>
      </w:r>
      <w:r>
        <w:br/>
      </w:r>
    </w:p>
    <w:p w14:paraId="75AD54A6" w14:textId="77777777" w:rsidR="001C423B" w:rsidRDefault="00F73EEF">
      <w:pPr>
        <w:pStyle w:val="Compact"/>
        <w:numPr>
          <w:ilvl w:val="0"/>
          <w:numId w:val="4"/>
        </w:numPr>
      </w:pPr>
      <w:r>
        <w:t>Participation in SNAP authorization pursuant to 7 U.S.C. § 2018.</w:t>
      </w:r>
    </w:p>
    <w:p w14:paraId="15955261" w14:textId="77777777" w:rsidR="001C423B" w:rsidRDefault="00F73EEF">
      <w:pPr>
        <w:pStyle w:val="Compact"/>
        <w:numPr>
          <w:ilvl w:val="0"/>
          <w:numId w:val="5"/>
        </w:numPr>
      </w:pPr>
      <w:r>
        <w:t>Supplement Not Supplant. Funds made available under this section shall supplement and not supplant other Federal, State, Tribal, or local funding.</w:t>
      </w:r>
    </w:p>
    <w:p w14:paraId="1C860046" w14:textId="77777777" w:rsidR="001C423B" w:rsidRDefault="00F72B6A">
      <w:r>
        <w:pict w14:anchorId="40D7A3B3">
          <v:rect id="_x0000_i1029" style="width:0;height:1.5pt" o:hralign="center" o:hrstd="t" o:hr="t"/>
        </w:pict>
      </w:r>
    </w:p>
    <w:p w14:paraId="5BC53746" w14:textId="77777777" w:rsidR="001C423B" w:rsidRDefault="00F73EEF">
      <w:pPr>
        <w:pStyle w:val="Heading2"/>
      </w:pPr>
      <w:bookmarkStart w:id="5" w:name="section-5.-funding-structure"/>
      <w:bookmarkEnd w:id="4"/>
      <w:r>
        <w:t>SECTION 5. FUNDING STRUCTURE</w:t>
      </w:r>
    </w:p>
    <w:p w14:paraId="37E65AF6" w14:textId="77777777" w:rsidR="001C423B" w:rsidRDefault="00F73EEF">
      <w:pPr>
        <w:pStyle w:val="Compact"/>
        <w:numPr>
          <w:ilvl w:val="0"/>
          <w:numId w:val="6"/>
        </w:numPr>
      </w:pPr>
      <w:r>
        <w:t>Form of Assistance. Assistance shall prioritize forgivable loans rather than grants, with forgiveness contingent upon:</w:t>
      </w:r>
    </w:p>
    <w:p w14:paraId="1B3C63BD" w14:textId="77777777" w:rsidR="001C423B" w:rsidRDefault="00F73EEF">
      <w:pPr>
        <w:pStyle w:val="Compact"/>
        <w:numPr>
          <w:ilvl w:val="0"/>
          <w:numId w:val="7"/>
        </w:numPr>
      </w:pPr>
      <w:r>
        <w:t>Verified five-year operational survival;</w:t>
      </w:r>
      <w:r>
        <w:br/>
      </w:r>
    </w:p>
    <w:p w14:paraId="76CB115D" w14:textId="77777777" w:rsidR="001C423B" w:rsidRDefault="00F73EEF">
      <w:pPr>
        <w:pStyle w:val="Compact"/>
        <w:numPr>
          <w:ilvl w:val="0"/>
          <w:numId w:val="7"/>
        </w:numPr>
      </w:pPr>
      <w:r>
        <w:t>Compliance with Healthy Staple Food sales thresholds;</w:t>
      </w:r>
      <w:r>
        <w:br/>
      </w:r>
    </w:p>
    <w:p w14:paraId="67661677" w14:textId="77777777" w:rsidR="001C423B" w:rsidRDefault="00F73EEF">
      <w:pPr>
        <w:pStyle w:val="Compact"/>
        <w:numPr>
          <w:ilvl w:val="0"/>
          <w:numId w:val="7"/>
        </w:numPr>
      </w:pPr>
      <w:r>
        <w:t>Annual reporting requirements under subsection (d).</w:t>
      </w:r>
    </w:p>
    <w:p w14:paraId="5278D2D5" w14:textId="77777777" w:rsidR="001C423B" w:rsidRDefault="00F73EEF">
      <w:pPr>
        <w:pStyle w:val="Compact"/>
        <w:numPr>
          <w:ilvl w:val="0"/>
          <w:numId w:val="8"/>
        </w:numPr>
      </w:pPr>
      <w:r>
        <w:t>Set-Asides. Of total amounts appropriated annually under this section:</w:t>
      </w:r>
    </w:p>
    <w:p w14:paraId="003D1C09" w14:textId="77777777" w:rsidR="001C423B" w:rsidRDefault="00F73EEF">
      <w:pPr>
        <w:pStyle w:val="Compact"/>
        <w:numPr>
          <w:ilvl w:val="0"/>
          <w:numId w:val="9"/>
        </w:numPr>
      </w:pPr>
      <w:r>
        <w:t>Not less than 15 percent shall be reserved for Tribal communities;</w:t>
      </w:r>
      <w:r>
        <w:br/>
      </w:r>
    </w:p>
    <w:p w14:paraId="436932E7" w14:textId="77777777" w:rsidR="001C423B" w:rsidRDefault="00F73EEF">
      <w:pPr>
        <w:pStyle w:val="Compact"/>
        <w:numPr>
          <w:ilvl w:val="0"/>
          <w:numId w:val="9"/>
        </w:numPr>
      </w:pPr>
      <w:r>
        <w:t>Not less than 20 percent shall be reserved for rural communities.</w:t>
      </w:r>
    </w:p>
    <w:p w14:paraId="35D29326" w14:textId="77777777" w:rsidR="001C423B" w:rsidRDefault="00F73EEF">
      <w:pPr>
        <w:numPr>
          <w:ilvl w:val="0"/>
          <w:numId w:val="10"/>
        </w:numPr>
      </w:pPr>
      <w:r>
        <w:t>Administrative Cap. Not more than 3 percent of total appropriations may be used for combined administrative and evaluation costs.</w:t>
      </w:r>
    </w:p>
    <w:p w14:paraId="6A63E8C0" w14:textId="77777777" w:rsidR="001C423B" w:rsidRDefault="00F73EEF">
      <w:pPr>
        <w:numPr>
          <w:ilvl w:val="0"/>
          <w:numId w:val="10"/>
        </w:numPr>
      </w:pPr>
      <w:r>
        <w:t>Reporting Requirements. Recipients shall submit annual reports verifying:</w:t>
      </w:r>
    </w:p>
    <w:p w14:paraId="15E506B0" w14:textId="77777777" w:rsidR="001C423B" w:rsidRDefault="00F73EEF">
      <w:pPr>
        <w:pStyle w:val="Compact"/>
        <w:numPr>
          <w:ilvl w:val="0"/>
          <w:numId w:val="11"/>
        </w:numPr>
      </w:pPr>
      <w:r>
        <w:t>Percentage of sales derived from Healthy Staple Foods;</w:t>
      </w:r>
      <w:r>
        <w:br/>
      </w:r>
    </w:p>
    <w:p w14:paraId="0E3E47DC" w14:textId="77777777" w:rsidR="001C423B" w:rsidRDefault="00F73EEF">
      <w:pPr>
        <w:pStyle w:val="Compact"/>
        <w:numPr>
          <w:ilvl w:val="0"/>
          <w:numId w:val="11"/>
        </w:numPr>
      </w:pPr>
      <w:r>
        <w:t>Continued SNAP participation;</w:t>
      </w:r>
      <w:r>
        <w:br/>
      </w:r>
    </w:p>
    <w:p w14:paraId="06578610" w14:textId="77777777" w:rsidR="001C423B" w:rsidRDefault="00F73EEF">
      <w:pPr>
        <w:pStyle w:val="Compact"/>
        <w:numPr>
          <w:ilvl w:val="0"/>
          <w:numId w:val="11"/>
        </w:numPr>
      </w:pPr>
      <w:r>
        <w:lastRenderedPageBreak/>
        <w:t>Financial solvency metrics consistent with approved viability plans.</w:t>
      </w:r>
    </w:p>
    <w:p w14:paraId="66BEBDB2" w14:textId="77777777" w:rsidR="001C423B" w:rsidRDefault="00F72B6A">
      <w:r>
        <w:pict w14:anchorId="2BAFD1A9">
          <v:rect id="_x0000_i1030" style="width:0;height:1.5pt" o:hralign="center" o:hrstd="t" o:hr="t"/>
        </w:pict>
      </w:r>
    </w:p>
    <w:p w14:paraId="3E80441C" w14:textId="77777777" w:rsidR="001C423B" w:rsidRDefault="00F73EEF">
      <w:pPr>
        <w:pStyle w:val="Heading2"/>
      </w:pPr>
      <w:bookmarkStart w:id="6" w:name="section-6.-guardrails-and-enforcement"/>
      <w:bookmarkEnd w:id="5"/>
      <w:r>
        <w:t>SECTION 6. GUARDRAILS AND ENFORCEMENT</w:t>
      </w:r>
    </w:p>
    <w:p w14:paraId="59C1B5F8" w14:textId="77777777" w:rsidR="001C423B" w:rsidRDefault="00F73EEF">
      <w:pPr>
        <w:numPr>
          <w:ilvl w:val="0"/>
          <w:numId w:val="12"/>
        </w:numPr>
      </w:pPr>
      <w:r>
        <w:t>Transparency. The Secretary shall maintain a public dashboard listing all applicants, award amounts, scoring criteria, and performance metrics within 30 days of award.</w:t>
      </w:r>
    </w:p>
    <w:p w14:paraId="776ED617" w14:textId="77777777" w:rsidR="001C423B" w:rsidRDefault="00F73EEF">
      <w:pPr>
        <w:numPr>
          <w:ilvl w:val="0"/>
          <w:numId w:val="12"/>
        </w:numPr>
      </w:pPr>
      <w:r>
        <w:t>Debarment and Clawback. Any recipient found to have submitted materially false information shall be subject to debarment under 2 C.F.R. Part 180 and repayment of funds with a penalty of up to 150 percent of the amount misused.</w:t>
      </w:r>
    </w:p>
    <w:p w14:paraId="721818E1" w14:textId="77777777" w:rsidR="001C423B" w:rsidRDefault="00F73EEF">
      <w:pPr>
        <w:numPr>
          <w:ilvl w:val="0"/>
          <w:numId w:val="12"/>
        </w:numPr>
      </w:pPr>
      <w:r>
        <w:t>Inspector General Oversight. The USDA Inspector General shall conduct mandatory audits if total obligations exceed 20 percent of authorized amounts or if any single award exceeds $5,000,000.</w:t>
      </w:r>
    </w:p>
    <w:p w14:paraId="217F5891" w14:textId="77777777" w:rsidR="001C423B" w:rsidRDefault="00F73EEF">
      <w:pPr>
        <w:numPr>
          <w:ilvl w:val="0"/>
          <w:numId w:val="12"/>
        </w:numPr>
      </w:pPr>
      <w:r>
        <w:t>Privacy Protection. No funds under this section may be used for general law-enforcement purposes or warrantless data collection. An annual Privacy Impact Assessment shall be submitted to Congress.</w:t>
      </w:r>
    </w:p>
    <w:p w14:paraId="2D756AA6" w14:textId="77777777" w:rsidR="001C423B" w:rsidRDefault="00F73EEF">
      <w:pPr>
        <w:numPr>
          <w:ilvl w:val="0"/>
          <w:numId w:val="12"/>
        </w:numPr>
      </w:pPr>
      <w:r>
        <w:t>No Private Right of Action. Nothing in this section creates a private right of action.</w:t>
      </w:r>
    </w:p>
    <w:p w14:paraId="0C893015" w14:textId="77777777" w:rsidR="001C423B" w:rsidRDefault="00F72B6A">
      <w:r>
        <w:pict w14:anchorId="130B0CC0">
          <v:rect id="_x0000_i1031" style="width:0;height:1.5pt" o:hralign="center" o:hrstd="t" o:hr="t"/>
        </w:pict>
      </w:r>
    </w:p>
    <w:p w14:paraId="06065DF0" w14:textId="77777777" w:rsidR="001C423B" w:rsidRDefault="00F73EEF">
      <w:pPr>
        <w:pStyle w:val="Heading2"/>
      </w:pPr>
      <w:bookmarkStart w:id="7" w:name="section-7.-evaluation-and-expansion"/>
      <w:bookmarkEnd w:id="6"/>
      <w:r>
        <w:t>SECTION 7. EVALUATION AND EXPANSION</w:t>
      </w:r>
    </w:p>
    <w:p w14:paraId="3D4E7E87" w14:textId="77777777" w:rsidR="001C423B" w:rsidRDefault="00F73EEF">
      <w:pPr>
        <w:pStyle w:val="Compact"/>
        <w:numPr>
          <w:ilvl w:val="0"/>
          <w:numId w:val="13"/>
        </w:numPr>
      </w:pPr>
      <w:r>
        <w:t>Comptroller General Review. Not later than December 31, 2032, the Comptroller General shall evaluate the pilot’s impact on:</w:t>
      </w:r>
    </w:p>
    <w:p w14:paraId="0758DFAE" w14:textId="77777777" w:rsidR="001C423B" w:rsidRDefault="00F73EEF">
      <w:pPr>
        <w:pStyle w:val="Compact"/>
        <w:numPr>
          <w:ilvl w:val="0"/>
          <w:numId w:val="14"/>
        </w:numPr>
      </w:pPr>
      <w:r>
        <w:t>Retail sustainability;</w:t>
      </w:r>
      <w:r>
        <w:br/>
      </w:r>
    </w:p>
    <w:p w14:paraId="7789D97E" w14:textId="77777777" w:rsidR="001C423B" w:rsidRDefault="00F73EEF">
      <w:pPr>
        <w:pStyle w:val="Compact"/>
        <w:numPr>
          <w:ilvl w:val="0"/>
          <w:numId w:val="14"/>
        </w:numPr>
      </w:pPr>
      <w:r>
        <w:t>Food access metrics;</w:t>
      </w:r>
      <w:r>
        <w:br/>
      </w:r>
    </w:p>
    <w:p w14:paraId="7E69BB51" w14:textId="77777777" w:rsidR="001C423B" w:rsidRDefault="00F73EEF">
      <w:pPr>
        <w:pStyle w:val="Compact"/>
        <w:numPr>
          <w:ilvl w:val="0"/>
          <w:numId w:val="14"/>
        </w:numPr>
      </w:pPr>
      <w:r>
        <w:t>Private capital leverage;</w:t>
      </w:r>
      <w:r>
        <w:br/>
      </w:r>
    </w:p>
    <w:p w14:paraId="39441F11" w14:textId="77777777" w:rsidR="001C423B" w:rsidRDefault="00F73EEF">
      <w:pPr>
        <w:pStyle w:val="Compact"/>
        <w:numPr>
          <w:ilvl w:val="0"/>
          <w:numId w:val="14"/>
        </w:numPr>
      </w:pPr>
      <w:r>
        <w:t>Net federal cost.</w:t>
      </w:r>
    </w:p>
    <w:p w14:paraId="0568A6C5" w14:textId="77777777" w:rsidR="001C423B" w:rsidRDefault="00F73EEF">
      <w:pPr>
        <w:pStyle w:val="Compact"/>
        <w:numPr>
          <w:ilvl w:val="0"/>
          <w:numId w:val="15"/>
        </w:numPr>
      </w:pPr>
      <w:r>
        <w:t>Expansion Condition. No additional national expansion funds may be obligated unless the Comptroller General certifies positive net economic impact relative to federal expenditures.</w:t>
      </w:r>
    </w:p>
    <w:p w14:paraId="1AD29402" w14:textId="77777777" w:rsidR="001C423B" w:rsidRDefault="00F72B6A">
      <w:r>
        <w:pict w14:anchorId="29F4D8C0">
          <v:rect id="_x0000_i1032" style="width:0;height:1.5pt" o:hralign="center" o:hrstd="t" o:hr="t"/>
        </w:pict>
      </w:r>
    </w:p>
    <w:p w14:paraId="1B84CC4C" w14:textId="77777777" w:rsidR="001C423B" w:rsidRDefault="00F73EEF">
      <w:pPr>
        <w:pStyle w:val="Heading2"/>
      </w:pPr>
      <w:bookmarkStart w:id="8" w:name="X6cc55f6f751fbea0112565ce2f904e0c64d38dd"/>
      <w:bookmarkEnd w:id="7"/>
      <w:r>
        <w:t>SECTION 8. AUTHORIZATION OF APPROPRIATIONS</w:t>
      </w:r>
    </w:p>
    <w:p w14:paraId="509E4298" w14:textId="77777777" w:rsidR="001C423B" w:rsidRDefault="00F73EEF">
      <w:pPr>
        <w:numPr>
          <w:ilvl w:val="0"/>
          <w:numId w:val="16"/>
        </w:numPr>
      </w:pPr>
      <w:r>
        <w:t>Authorization. There is authorized to be appropriated $400,000,000 for fiscal years 2028 through 2032 to carry out this section.</w:t>
      </w:r>
    </w:p>
    <w:p w14:paraId="626DA9E4" w14:textId="77777777" w:rsidR="001C423B" w:rsidRDefault="00F73EEF">
      <w:pPr>
        <w:numPr>
          <w:ilvl w:val="0"/>
          <w:numId w:val="16"/>
        </w:numPr>
      </w:pPr>
      <w:r>
        <w:t>Allocation. Funds shall be disbursed as follows:</w:t>
      </w:r>
    </w:p>
    <w:p w14:paraId="241B8684" w14:textId="77777777" w:rsidR="001C423B" w:rsidRDefault="00F73EEF">
      <w:pPr>
        <w:pStyle w:val="Compact"/>
        <w:numPr>
          <w:ilvl w:val="0"/>
          <w:numId w:val="17"/>
        </w:numPr>
      </w:pPr>
      <w:r>
        <w:lastRenderedPageBreak/>
        <w:t>Up to $388,000,000 for forgivable loans and direct project support;</w:t>
      </w:r>
      <w:r>
        <w:br/>
      </w:r>
    </w:p>
    <w:p w14:paraId="4F044500" w14:textId="77777777" w:rsidR="001C423B" w:rsidRDefault="00F73EEF">
      <w:pPr>
        <w:pStyle w:val="Compact"/>
        <w:numPr>
          <w:ilvl w:val="0"/>
          <w:numId w:val="17"/>
        </w:numPr>
      </w:pPr>
      <w:r>
        <w:t>Not more than $12,000,000 for administration and evaluation combined.</w:t>
      </w:r>
    </w:p>
    <w:p w14:paraId="71D8030A" w14:textId="77777777" w:rsidR="001C423B" w:rsidRDefault="00F73EEF">
      <w:pPr>
        <w:pStyle w:val="Compact"/>
        <w:numPr>
          <w:ilvl w:val="0"/>
          <w:numId w:val="18"/>
        </w:numPr>
      </w:pPr>
      <w:r>
        <w:t>Offsets. Any appropriations made pursuant to this section shall be offset by reductions in other discretionary USDA accounts of equal value.</w:t>
      </w:r>
    </w:p>
    <w:p w14:paraId="06F98202" w14:textId="77777777" w:rsidR="001C423B" w:rsidRDefault="00F72B6A">
      <w:r>
        <w:pict w14:anchorId="312BFDAA">
          <v:rect id="_x0000_i1033" style="width:0;height:1.5pt" o:hralign="center" o:hrstd="t" o:hr="t"/>
        </w:pict>
      </w:r>
    </w:p>
    <w:p w14:paraId="2CFD4571" w14:textId="77777777" w:rsidR="001C423B" w:rsidRDefault="00F73EEF">
      <w:pPr>
        <w:pStyle w:val="Heading2"/>
      </w:pPr>
      <w:bookmarkStart w:id="9" w:name="section-9.-sunset"/>
      <w:bookmarkEnd w:id="8"/>
      <w:r>
        <w:t>SECTION 9. SUNSET</w:t>
      </w:r>
    </w:p>
    <w:p w14:paraId="0B5DDB2B" w14:textId="77777777" w:rsidR="001C423B" w:rsidRDefault="00F73EEF">
      <w:pPr>
        <w:pStyle w:val="FirstParagraph"/>
      </w:pPr>
      <w:r>
        <w:t>Unless reauthorized by Act of Congress following the Comptroller General’s certification under Section 7, authority under this Act shall terminate December 31, 2032.</w:t>
      </w:r>
    </w:p>
    <w:p w14:paraId="2AADAF4E" w14:textId="77777777" w:rsidR="001C423B" w:rsidRDefault="00F72B6A">
      <w:r>
        <w:pict w14:anchorId="7FAF3A45">
          <v:rect id="_x0000_i1034" style="width:0;height:1.5pt" o:hralign="center" o:hrstd="t" o:hr="t"/>
        </w:pict>
      </w:r>
    </w:p>
    <w:p w14:paraId="642AFD07" w14:textId="77777777" w:rsidR="001C423B" w:rsidRDefault="00F73EEF">
      <w:pPr>
        <w:pStyle w:val="Heading2"/>
      </w:pPr>
      <w:bookmarkStart w:id="10" w:name="section-10.-severability"/>
      <w:bookmarkEnd w:id="9"/>
      <w:r>
        <w:t>SECTION 10. SEVERABILITY</w:t>
      </w:r>
    </w:p>
    <w:p w14:paraId="6039F080" w14:textId="77777777" w:rsidR="001C423B" w:rsidRDefault="00F73EEF">
      <w:pPr>
        <w:pStyle w:val="FirstParagraph"/>
      </w:pPr>
      <w:r>
        <w:t>If any provision of this Act or its application is held invalid, the remainder shall not be affected.</w:t>
      </w:r>
    </w:p>
    <w:p w14:paraId="29CC3B1D" w14:textId="77777777" w:rsidR="001C423B" w:rsidRDefault="00F72B6A">
      <w:r>
        <w:pict w14:anchorId="005B6F44">
          <v:rect id="_x0000_i1035" style="width:0;height:1.5pt" o:hralign="center" o:hrstd="t" o:hr="t"/>
        </w:pict>
      </w:r>
    </w:p>
    <w:p w14:paraId="1B048E7F" w14:textId="77777777" w:rsidR="001C423B" w:rsidRDefault="00F73EEF">
      <w:pPr>
        <w:pStyle w:val="Heading2"/>
      </w:pPr>
      <w:bookmarkStart w:id="11" w:name="section-11.-effective-date"/>
      <w:bookmarkEnd w:id="10"/>
      <w:r>
        <w:t>SECTION 11. EFFECTIVE DATE</w:t>
      </w:r>
    </w:p>
    <w:p w14:paraId="18DB5224" w14:textId="77777777" w:rsidR="001C423B" w:rsidRDefault="00F73EEF">
      <w:pPr>
        <w:pStyle w:val="FirstParagraph"/>
      </w:pPr>
      <w:r>
        <w:t>This Act shall take effect upon enactment.</w:t>
      </w:r>
      <w:bookmarkEnd w:id="0"/>
      <w:bookmarkEnd w:id="11"/>
    </w:p>
    <w:sectPr w:rsidR="001C423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28243E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09C08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731"/>
    <w:multiLevelType w:val="multilevel"/>
    <w:tmpl w:val="CCAC782E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3" w15:restartNumberingAfterBreak="0">
    <w:nsid w:val="00A99732"/>
    <w:multiLevelType w:val="multilevel"/>
    <w:tmpl w:val="FFA881CA"/>
    <w:lvl w:ilvl="0">
      <w:start w:val="2"/>
      <w:numFmt w:val="lowerLetter"/>
      <w:lvlText w:val="(%1)"/>
      <w:lvlJc w:val="left"/>
      <w:pPr>
        <w:ind w:left="720" w:hanging="360"/>
      </w:pPr>
    </w:lvl>
    <w:lvl w:ilvl="1">
      <w:start w:val="2"/>
      <w:numFmt w:val="lowerLetter"/>
      <w:lvlText w:val="(%2)"/>
      <w:lvlJc w:val="left"/>
      <w:pPr>
        <w:ind w:left="1440" w:hanging="360"/>
      </w:pPr>
    </w:lvl>
    <w:lvl w:ilvl="2">
      <w:start w:val="2"/>
      <w:numFmt w:val="lowerLetter"/>
      <w:lvlText w:val="(%3)"/>
      <w:lvlJc w:val="left"/>
      <w:pPr>
        <w:ind w:left="2160" w:hanging="360"/>
      </w:pPr>
    </w:lvl>
    <w:lvl w:ilvl="3">
      <w:start w:val="2"/>
      <w:numFmt w:val="lowerLetter"/>
      <w:lvlText w:val="(%4)"/>
      <w:lvlJc w:val="left"/>
      <w:pPr>
        <w:ind w:left="2880" w:hanging="360"/>
      </w:pPr>
    </w:lvl>
    <w:lvl w:ilvl="4">
      <w:start w:val="2"/>
      <w:numFmt w:val="lowerLetter"/>
      <w:lvlText w:val="(%5)"/>
      <w:lvlJc w:val="left"/>
      <w:pPr>
        <w:ind w:left="3600" w:hanging="360"/>
      </w:pPr>
    </w:lvl>
    <w:lvl w:ilvl="5">
      <w:start w:val="2"/>
      <w:numFmt w:val="lowerLetter"/>
      <w:lvlText w:val="(%6)"/>
      <w:lvlJc w:val="left"/>
      <w:pPr>
        <w:ind w:left="4320" w:hanging="360"/>
      </w:pPr>
    </w:lvl>
    <w:lvl w:ilvl="6">
      <w:start w:val="2"/>
      <w:numFmt w:val="lowerLetter"/>
      <w:lvlText w:val="(%7)"/>
      <w:lvlJc w:val="left"/>
      <w:pPr>
        <w:ind w:left="5040" w:hanging="360"/>
      </w:pPr>
    </w:lvl>
    <w:lvl w:ilvl="7">
      <w:start w:val="2"/>
      <w:numFmt w:val="lowerLetter"/>
      <w:lvlText w:val="(%8)"/>
      <w:lvlJc w:val="left"/>
      <w:pPr>
        <w:ind w:left="5760" w:hanging="360"/>
      </w:pPr>
    </w:lvl>
    <w:lvl w:ilvl="8">
      <w:start w:val="2"/>
      <w:numFmt w:val="lowerLetter"/>
      <w:lvlText w:val="(%9)"/>
      <w:lvlJc w:val="left"/>
      <w:pPr>
        <w:ind w:left="6480" w:hanging="360"/>
      </w:pPr>
    </w:lvl>
  </w:abstractNum>
  <w:abstractNum w:abstractNumId="4" w15:restartNumberingAfterBreak="0">
    <w:nsid w:val="00A99733"/>
    <w:multiLevelType w:val="multilevel"/>
    <w:tmpl w:val="C1F69B7E"/>
    <w:lvl w:ilvl="0">
      <w:start w:val="3"/>
      <w:numFmt w:val="lowerLetter"/>
      <w:lvlText w:val="(%1)"/>
      <w:lvlJc w:val="left"/>
      <w:pPr>
        <w:ind w:left="720" w:hanging="360"/>
      </w:pPr>
    </w:lvl>
    <w:lvl w:ilvl="1">
      <w:start w:val="3"/>
      <w:numFmt w:val="lowerLetter"/>
      <w:lvlText w:val="(%2)"/>
      <w:lvlJc w:val="left"/>
      <w:pPr>
        <w:ind w:left="1440" w:hanging="360"/>
      </w:pPr>
    </w:lvl>
    <w:lvl w:ilvl="2">
      <w:start w:val="3"/>
      <w:numFmt w:val="lowerLetter"/>
      <w:lvlText w:val="(%3)"/>
      <w:lvlJc w:val="left"/>
      <w:pPr>
        <w:ind w:left="2160" w:hanging="360"/>
      </w:pPr>
    </w:lvl>
    <w:lvl w:ilvl="3">
      <w:start w:val="3"/>
      <w:numFmt w:val="lowerLetter"/>
      <w:lvlText w:val="(%4)"/>
      <w:lvlJc w:val="left"/>
      <w:pPr>
        <w:ind w:left="2880" w:hanging="360"/>
      </w:pPr>
    </w:lvl>
    <w:lvl w:ilvl="4">
      <w:start w:val="3"/>
      <w:numFmt w:val="lowerLetter"/>
      <w:lvlText w:val="(%5)"/>
      <w:lvlJc w:val="left"/>
      <w:pPr>
        <w:ind w:left="3600" w:hanging="360"/>
      </w:pPr>
    </w:lvl>
    <w:lvl w:ilvl="5">
      <w:start w:val="3"/>
      <w:numFmt w:val="lowerLetter"/>
      <w:lvlText w:val="(%6)"/>
      <w:lvlJc w:val="left"/>
      <w:pPr>
        <w:ind w:left="4320" w:hanging="360"/>
      </w:pPr>
    </w:lvl>
    <w:lvl w:ilvl="6">
      <w:start w:val="3"/>
      <w:numFmt w:val="lowerLetter"/>
      <w:lvlText w:val="(%7)"/>
      <w:lvlJc w:val="left"/>
      <w:pPr>
        <w:ind w:left="5040" w:hanging="360"/>
      </w:pPr>
    </w:lvl>
    <w:lvl w:ilvl="7">
      <w:start w:val="3"/>
      <w:numFmt w:val="lowerLetter"/>
      <w:lvlText w:val="(%8)"/>
      <w:lvlJc w:val="left"/>
      <w:pPr>
        <w:ind w:left="5760" w:hanging="360"/>
      </w:pPr>
    </w:lvl>
    <w:lvl w:ilvl="8">
      <w:start w:val="3"/>
      <w:numFmt w:val="lowerLetter"/>
      <w:lvlText w:val="(%9)"/>
      <w:lvlJc w:val="left"/>
      <w:pPr>
        <w:ind w:left="6480" w:hanging="360"/>
      </w:pPr>
    </w:lvl>
  </w:abstractNum>
  <w:num w:numId="1" w16cid:durableId="1073163152">
    <w:abstractNumId w:val="0"/>
  </w:num>
  <w:num w:numId="2" w16cid:durableId="1967154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944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4984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828845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6" w16cid:durableId="147969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178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125639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 w16cid:durableId="1054431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5568941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 w16cid:durableId="150281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9152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6801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0090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9647122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6" w16cid:durableId="210271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2217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5444712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3B"/>
    <w:rsid w:val="001C423B"/>
    <w:rsid w:val="001E4C02"/>
    <w:rsid w:val="007F395F"/>
    <w:rsid w:val="00A130F9"/>
    <w:rsid w:val="00C82DE1"/>
    <w:rsid w:val="00F5057B"/>
    <w:rsid w:val="00F7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8800"/>
  <w15:docId w15:val="{9C6D21C3-0158-42FD-A3EF-6500621D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4571</Characters>
  <Application>Microsoft Office Word</Application>
  <DocSecurity>0</DocSecurity>
  <Lines>114</Lines>
  <Paragraphs>68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Oxford Christian Forbes Nordberg</dc:creator>
  <cp:keywords/>
  <cp:lastModifiedBy>Oxford Christian Forbes Nordberg</cp:lastModifiedBy>
  <cp:revision>2</cp:revision>
  <dcterms:created xsi:type="dcterms:W3CDTF">2026-03-21T15:22:00Z</dcterms:created>
  <dcterms:modified xsi:type="dcterms:W3CDTF">2026-03-21T15:22:00Z</dcterms:modified>
</cp:coreProperties>
</file>