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7C158" w14:textId="77777777" w:rsidR="0050369F" w:rsidRDefault="0050369F"/>
    <w:p w14:paraId="3D112370" w14:textId="77777777" w:rsidR="0050369F" w:rsidRDefault="0050369F"/>
    <w:p w14:paraId="55894AB1" w14:textId="3B360F4F" w:rsidR="0050369F" w:rsidRDefault="00B44856">
      <w:pPr>
        <w:spacing w:before="480" w:after="120"/>
        <w:jc w:val="center"/>
      </w:pPr>
      <w:r>
        <w:rPr>
          <w:rFonts w:ascii="Arial" w:eastAsia="Arial" w:hAnsi="Arial" w:cs="Arial"/>
          <w:b/>
          <w:bCs/>
          <w:sz w:val="28"/>
          <w:szCs w:val="28"/>
        </w:rPr>
        <w:t>12</w:t>
      </w:r>
      <w:r w:rsidR="000B3270">
        <w:rPr>
          <w:rFonts w:ascii="Arial" w:eastAsia="Arial" w:hAnsi="Arial" w:cs="Arial"/>
          <w:b/>
          <w:bCs/>
          <w:sz w:val="28"/>
          <w:szCs w:val="28"/>
        </w:rPr>
        <w:t>1</w:t>
      </w:r>
      <w:r w:rsidR="00C479CD">
        <w:rPr>
          <w:rFonts w:ascii="Arial" w:eastAsia="Arial" w:hAnsi="Arial" w:cs="Arial"/>
          <w:b/>
          <w:bCs/>
          <w:sz w:val="28"/>
          <w:szCs w:val="28"/>
        </w:rPr>
        <w:t>th CONGRESS</w:t>
      </w:r>
    </w:p>
    <w:p w14:paraId="0F033B53" w14:textId="3CC0FA80" w:rsidR="0050369F" w:rsidRDefault="00B44856">
      <w:pPr>
        <w:jc w:val="center"/>
      </w:pPr>
      <w:r>
        <w:rPr>
          <w:rFonts w:ascii="Arial" w:eastAsia="Arial" w:hAnsi="Arial" w:cs="Arial"/>
        </w:rPr>
        <w:t>1st</w:t>
      </w:r>
      <w:r w:rsidR="00C479CD">
        <w:rPr>
          <w:rFonts w:ascii="Arial" w:eastAsia="Arial" w:hAnsi="Arial" w:cs="Arial"/>
        </w:rPr>
        <w:t xml:space="preserve"> Session</w:t>
      </w:r>
    </w:p>
    <w:p w14:paraId="0A079C86" w14:textId="77777777" w:rsidR="0050369F" w:rsidRDefault="0050369F"/>
    <w:p w14:paraId="610C6B16" w14:textId="77777777" w:rsidR="0050369F" w:rsidRDefault="00C479CD">
      <w:pPr>
        <w:pBdr>
          <w:top w:val="double" w:sz="6" w:space="4" w:color="1F3864"/>
          <w:bottom w:val="double" w:sz="6" w:space="4" w:color="1F3864"/>
        </w:pBdr>
        <w:spacing w:before="240" w:after="240"/>
        <w:jc w:val="center"/>
      </w:pPr>
      <w:r>
        <w:rPr>
          <w:rFonts w:ascii="Arial" w:eastAsia="Arial" w:hAnsi="Arial" w:cs="Arial"/>
          <w:b/>
          <w:bCs/>
          <w:color w:val="1F3864"/>
          <w:sz w:val="36"/>
          <w:szCs w:val="36"/>
        </w:rPr>
        <w:t>H.R. _____</w:t>
      </w:r>
    </w:p>
    <w:p w14:paraId="347523DA" w14:textId="77777777" w:rsidR="0050369F" w:rsidRDefault="0050369F"/>
    <w:p w14:paraId="0CED3B83" w14:textId="77777777" w:rsidR="0050369F" w:rsidRDefault="00C479CD">
      <w:pPr>
        <w:jc w:val="center"/>
      </w:pPr>
      <w:r>
        <w:rPr>
          <w:rFonts w:ascii="Arial" w:eastAsia="Arial" w:hAnsi="Arial" w:cs="Arial"/>
          <w:b/>
          <w:bCs/>
          <w:sz w:val="32"/>
          <w:szCs w:val="32"/>
        </w:rPr>
        <w:t>A BILL</w:t>
      </w:r>
    </w:p>
    <w:p w14:paraId="0410D7DA" w14:textId="77777777" w:rsidR="0050369F" w:rsidRDefault="0050369F"/>
    <w:p w14:paraId="15356FB5" w14:textId="77777777" w:rsidR="0050369F" w:rsidRDefault="00C479CD">
      <w:pPr>
        <w:spacing w:before="120" w:after="480"/>
        <w:jc w:val="center"/>
      </w:pPr>
      <w:r>
        <w:rPr>
          <w:i/>
          <w:iCs/>
          <w:sz w:val="22"/>
          <w:szCs w:val="22"/>
        </w:rPr>
        <w:t>To amend the Public Health Service Act, the Employee Retirement Income Security Act of 1974, and the Social Security Act to strengthen healthcare price transparency, prohibit spread pricing in all federally regulated health plans, require full rebate pass-through across the pharmaceutical supply chain, enhance enforcement of the No Surprises Act, and provide for phased implementation, appropriations, and enforcement.</w:t>
      </w:r>
    </w:p>
    <w:p w14:paraId="3E0B3E5B" w14:textId="77777777" w:rsidR="0050369F" w:rsidRDefault="0050369F">
      <w:pPr>
        <w:pBdr>
          <w:bottom w:val="single" w:sz="6" w:space="1" w:color="1F3864"/>
        </w:pBdr>
      </w:pPr>
    </w:p>
    <w:p w14:paraId="50640D76" w14:textId="77777777" w:rsidR="0050369F" w:rsidRDefault="0050369F"/>
    <w:p w14:paraId="296550FE" w14:textId="77777777" w:rsidR="0050369F" w:rsidRDefault="00C479CD">
      <w:pPr>
        <w:pStyle w:val="Heading1"/>
      </w:pPr>
      <w:r>
        <w:t>SECTION 1. SHORT TITLE.</w:t>
      </w:r>
    </w:p>
    <w:p w14:paraId="2EE0F40B" w14:textId="7E9A0510" w:rsidR="0050369F" w:rsidRDefault="00C479CD">
      <w:r>
        <w:t>This Act may be cited as the "Healthcare Price Transparency and PBM Accountability Act of 202</w:t>
      </w:r>
      <w:r w:rsidR="007C358F">
        <w:t>9</w:t>
      </w:r>
      <w:r>
        <w:t>."</w:t>
      </w:r>
    </w:p>
    <w:p w14:paraId="06FF26B0" w14:textId="77777777" w:rsidR="0050369F" w:rsidRDefault="0050369F"/>
    <w:p w14:paraId="057BD581" w14:textId="77777777" w:rsidR="0050369F" w:rsidRDefault="00C479CD">
      <w:pPr>
        <w:pStyle w:val="Heading1"/>
      </w:pPr>
      <w:r>
        <w:t>SECTION 2. FINDINGS AND STATEMENT OF SUBSTANTIAL GOVERNMENT INTEREST.</w:t>
      </w:r>
    </w:p>
    <w:p w14:paraId="7ABA65BD" w14:textId="77777777" w:rsidR="0050369F" w:rsidRDefault="00C479CD">
      <w:r>
        <w:t>(a) Findings. — The Congress finds that:</w:t>
      </w:r>
    </w:p>
    <w:p w14:paraId="5BDE067C" w14:textId="77777777" w:rsidR="0050369F" w:rsidRDefault="00C479CD">
      <w:pPr>
        <w:pStyle w:val="ListParagraph"/>
        <w:numPr>
          <w:ilvl w:val="0"/>
          <w:numId w:val="2"/>
        </w:numPr>
      </w:pPr>
      <w:r>
        <w:t>American consumers cannot discover the price of healthcare services before receiving them, creating a market failure that suppresses competition and facilitates price discrimination.</w:t>
      </w:r>
    </w:p>
    <w:p w14:paraId="6FABA294" w14:textId="77777777" w:rsidR="0050369F" w:rsidRDefault="00C479CD">
      <w:pPr>
        <w:pStyle w:val="ListParagraph"/>
        <w:numPr>
          <w:ilvl w:val="0"/>
          <w:numId w:val="2"/>
        </w:numPr>
      </w:pPr>
      <w:r>
        <w:t>This pricing opacity directly causes consumer financial harm: medical debt is the leading cause of personal bankruptcy in the United States, and a majority of insured adults report difficulty affording out-of-pocket healthcare costs.</w:t>
      </w:r>
    </w:p>
    <w:p w14:paraId="2688F84F" w14:textId="77777777" w:rsidR="0050369F" w:rsidRDefault="00C479CD">
      <w:pPr>
        <w:pStyle w:val="ListParagraph"/>
        <w:numPr>
          <w:ilvl w:val="0"/>
          <w:numId w:val="2"/>
        </w:numPr>
      </w:pPr>
      <w:r>
        <w:t>Pharmacy benefit managers have retained manufacturer rebates and engaged in spread pricing practices that increase costs to plan sponsors and beneficiaries without providing commensurate services, as documented by the Federal Trade Commission in its 2022, 2023, and 2024 reports.</w:t>
      </w:r>
    </w:p>
    <w:p w14:paraId="6FAAC1F1" w14:textId="77777777" w:rsidR="0050369F" w:rsidRDefault="00C479CD">
      <w:pPr>
        <w:pStyle w:val="ListParagraph"/>
        <w:numPr>
          <w:ilvl w:val="0"/>
          <w:numId w:val="2"/>
        </w:numPr>
      </w:pPr>
      <w:r>
        <w:lastRenderedPageBreak/>
        <w:t>The No Surprises Act (Pub. L. 116-260) has been undermined by independent dispute resolution backlogs exceeding 500,000 cases as of fiscal year 2024, depriving consumers of intended protections.</w:t>
      </w:r>
    </w:p>
    <w:p w14:paraId="04DF3330" w14:textId="77777777" w:rsidR="0050369F" w:rsidRDefault="00C479CD">
      <w:pPr>
        <w:pStyle w:val="ListParagraph"/>
        <w:numPr>
          <w:ilvl w:val="0"/>
          <w:numId w:val="2"/>
        </w:numPr>
      </w:pPr>
      <w:r>
        <w:t>Self-insured employer-sponsored health plans, which cover approximately 65 percent of privately insured workers, have been inadequately reached by prior transparency and PBM reform legislation.</w:t>
      </w:r>
    </w:p>
    <w:p w14:paraId="01BB7D00" w14:textId="77777777" w:rsidR="0050369F" w:rsidRDefault="00C479CD">
      <w:pPr>
        <w:pStyle w:val="ListParagraph"/>
        <w:numPr>
          <w:ilvl w:val="0"/>
          <w:numId w:val="2"/>
        </w:numPr>
      </w:pPr>
      <w:r>
        <w:t>Mandatory price disclosure in standardized, machine-readable, and consumer-accessible formats is directly and substantially related to the government's compelling interest in correcting the healthcare market failure and protecting consumers from financial devastation.</w:t>
      </w:r>
    </w:p>
    <w:p w14:paraId="10B72432" w14:textId="77777777" w:rsidR="0050369F" w:rsidRDefault="00C479CD">
      <w:pPr>
        <w:pStyle w:val="ListParagraph"/>
        <w:numPr>
          <w:ilvl w:val="0"/>
          <w:numId w:val="2"/>
        </w:numPr>
      </w:pPr>
      <w:r>
        <w:t xml:space="preserve">The compelled disclosures required by this Act are no more burdensome than necessary to serve the stated government interest.         </w:t>
      </w:r>
    </w:p>
    <w:p w14:paraId="5CF458AC" w14:textId="77777777" w:rsidR="0050369F" w:rsidRDefault="00C479CD">
      <w:pPr>
        <w:numPr>
          <w:ilvl w:val="0"/>
          <w:numId w:val="1"/>
        </w:numPr>
      </w:pPr>
      <w:r>
        <w:t>Congress expressly determines that the reforms enacted in Title III of this Act are within its authority under the Commerce Clause (Article I, Section 8, Clause 3) and the Spending Clause (Article I, Section 8, Clause 1) of the United States Constitution, and constitute clear statutory authorization for agency action affecting federally regulated health plans within the meaning of West Virginia v. EPA, 597 U.S. 697 (2022), and its progeny.</w:t>
      </w:r>
    </w:p>
    <w:p w14:paraId="24FAAC68" w14:textId="77777777" w:rsidR="0050369F" w:rsidRDefault="0050369F"/>
    <w:p w14:paraId="3FB4D72A" w14:textId="77777777" w:rsidR="0050369F" w:rsidRDefault="00C479CD">
      <w:r>
        <w:t>(b) Statement of Government Interest. — The compelled disclosure requirements of Title I of this Act are narrowly tailored to serve the substantial government interests identified in subsection (a), consistent with the First Amendment to the United States Constitution and as articulated in American Hospital Association v. Azar, 967 F.3d 818 (D.C. Cir. 2021).</w:t>
      </w:r>
    </w:p>
    <w:p w14:paraId="17AF47BE" w14:textId="77777777" w:rsidR="0050369F" w:rsidRDefault="0050369F"/>
    <w:p w14:paraId="3A600390" w14:textId="77777777" w:rsidR="0050369F" w:rsidRDefault="0050369F">
      <w:pPr>
        <w:pBdr>
          <w:bottom w:val="single" w:sz="6" w:space="1" w:color="1F3864"/>
        </w:pBdr>
      </w:pPr>
    </w:p>
    <w:p w14:paraId="1075865B" w14:textId="77777777" w:rsidR="0050369F" w:rsidRDefault="0050369F"/>
    <w:p w14:paraId="07AFF8C6" w14:textId="77777777" w:rsidR="0050369F" w:rsidRDefault="00C479CD">
      <w:pPr>
        <w:jc w:val="center"/>
      </w:pPr>
      <w:r>
        <w:rPr>
          <w:rFonts w:ascii="Arial" w:eastAsia="Arial" w:hAnsi="Arial" w:cs="Arial"/>
          <w:b/>
          <w:bCs/>
          <w:color w:val="1F3864"/>
          <w:sz w:val="28"/>
          <w:szCs w:val="28"/>
        </w:rPr>
        <w:t>TITLE I — STRENGTHENED HOSPITAL PRICE TRANSPARENCY</w:t>
      </w:r>
    </w:p>
    <w:p w14:paraId="04E781C0" w14:textId="77777777" w:rsidR="0050369F" w:rsidRDefault="0050369F"/>
    <w:p w14:paraId="4069509B" w14:textId="77777777" w:rsidR="0050369F" w:rsidRDefault="00C479CD">
      <w:pPr>
        <w:pStyle w:val="Heading1"/>
      </w:pPr>
      <w:r>
        <w:t>SEC. 101. AMENDMENT TO PUBLIC HEALTH SERVICE ACT.</w:t>
      </w:r>
    </w:p>
    <w:p w14:paraId="23462A72" w14:textId="77777777" w:rsidR="0050369F" w:rsidRDefault="00C479CD">
      <w:r>
        <w:t>Section 2718(e) of the Public Health Service Act (42 U.S.C. 300gg-18(e)) is amended by adding at the end the following:</w:t>
      </w:r>
    </w:p>
    <w:p w14:paraId="55D70C9D" w14:textId="77777777" w:rsidR="0050369F" w:rsidRDefault="0050369F"/>
    <w:p w14:paraId="360BBB87" w14:textId="77777777" w:rsidR="0050369F" w:rsidRDefault="00C479CD">
      <w:pPr>
        <w:pStyle w:val="Heading2"/>
      </w:pPr>
      <w:r>
        <w:t>(a) Bundled Price Disclosure Requirement.</w:t>
      </w:r>
    </w:p>
    <w:p w14:paraId="7B25F15F" w14:textId="77777777" w:rsidR="0050369F" w:rsidRDefault="00C479CD">
      <w:r>
        <w:t>Each hospital operating in the United States and participating in a Federal health care program shall publish, in a machine-readable and consumer-searchable format, bundled prices for not fewer than 100 high-utilization services.</w:t>
      </w:r>
    </w:p>
    <w:p w14:paraId="79A9C6B7" w14:textId="77777777" w:rsidR="0050369F" w:rsidRDefault="0050369F"/>
    <w:p w14:paraId="01394868" w14:textId="77777777" w:rsidR="0050369F" w:rsidRDefault="00C479CD">
      <w:r>
        <w:t>(1) Service Selection Criteria. — The Secretary shall select such services based on—</w:t>
      </w:r>
    </w:p>
    <w:p w14:paraId="0D9B5CE1" w14:textId="77777777" w:rsidR="0050369F" w:rsidRDefault="00C479CD">
      <w:pPr>
        <w:pStyle w:val="ListParagraph"/>
        <w:numPr>
          <w:ilvl w:val="0"/>
          <w:numId w:val="2"/>
        </w:numPr>
      </w:pPr>
      <w:r>
        <w:t>national inpatient and outpatient utilization data from the most recent available CMS claims data;</w:t>
      </w:r>
    </w:p>
    <w:p w14:paraId="1C46E5D4" w14:textId="77777777" w:rsidR="0050369F" w:rsidRDefault="00C479CD">
      <w:pPr>
        <w:pStyle w:val="ListParagraph"/>
        <w:numPr>
          <w:ilvl w:val="0"/>
          <w:numId w:val="2"/>
        </w:numPr>
      </w:pPr>
      <w:r>
        <w:t>average patient out-of-pocket burden by service category, weighted by income quintile;</w:t>
      </w:r>
    </w:p>
    <w:p w14:paraId="66EBBCEF" w14:textId="77777777" w:rsidR="0050369F" w:rsidRDefault="00C479CD">
      <w:pPr>
        <w:pStyle w:val="ListParagraph"/>
        <w:numPr>
          <w:ilvl w:val="0"/>
          <w:numId w:val="2"/>
        </w:numPr>
      </w:pPr>
      <w:r>
        <w:t>geographic price variation coefficient across hospital referral regions; and</w:t>
      </w:r>
    </w:p>
    <w:p w14:paraId="7CBC06E2" w14:textId="77777777" w:rsidR="0050369F" w:rsidRDefault="00C479CD">
      <w:pPr>
        <w:pStyle w:val="ListParagraph"/>
        <w:numPr>
          <w:ilvl w:val="0"/>
          <w:numId w:val="2"/>
        </w:numPr>
      </w:pPr>
      <w:r>
        <w:lastRenderedPageBreak/>
        <w:t>frequency of surprise billing disputes as reported under Section 2799A-1 dispute resolution filings.</w:t>
      </w:r>
    </w:p>
    <w:p w14:paraId="5460FD64" w14:textId="77777777" w:rsidR="0050369F" w:rsidRDefault="0050369F"/>
    <w:p w14:paraId="27E5D7BF" w14:textId="77777777" w:rsidR="0050369F" w:rsidRDefault="00C479CD">
      <w:r>
        <w:t>(2) Definition of Bundled Price. — For purposes of this section, the term 'bundled price' means the total expected payment for a defined healthcare service, inclusive of all facility, professional, anesthesia, laboratory, imaging, and ancillary charges customarily associated with the service, including charges from employed and contracted providers rendering services at the facility.</w:t>
      </w:r>
    </w:p>
    <w:p w14:paraId="37927BE0" w14:textId="77777777" w:rsidR="0050369F" w:rsidRDefault="0050369F"/>
    <w:p w14:paraId="09A710C7" w14:textId="77777777" w:rsidR="0050369F" w:rsidRDefault="00C479CD">
      <w:pPr>
        <w:pStyle w:val="Heading2"/>
      </w:pPr>
      <w:r>
        <w:t>(b) Data Accessibility Standards.</w:t>
      </w:r>
    </w:p>
    <w:p w14:paraId="693B51F2" w14:textId="77777777" w:rsidR="0050369F" w:rsidRDefault="00C479CD">
      <w:r>
        <w:t>Published pricing data shall—</w:t>
      </w:r>
    </w:p>
    <w:p w14:paraId="23C39ED6" w14:textId="77777777" w:rsidR="0050369F" w:rsidRDefault="00C479CD">
      <w:pPr>
        <w:pStyle w:val="ListParagraph"/>
        <w:numPr>
          <w:ilvl w:val="0"/>
          <w:numId w:val="2"/>
        </w:numPr>
      </w:pPr>
      <w:r>
        <w:t>be accessible through a standardized application programming interface (API);</w:t>
      </w:r>
    </w:p>
    <w:p w14:paraId="22B13D21" w14:textId="77777777" w:rsidR="0050369F" w:rsidRDefault="00C479CD">
      <w:pPr>
        <w:pStyle w:val="ListParagraph"/>
        <w:numPr>
          <w:ilvl w:val="0"/>
          <w:numId w:val="2"/>
        </w:numPr>
      </w:pPr>
      <w:r>
        <w:t>conform to interoperability standards consistent with HL7 FHIR R4 protocols, as specified by the Office of the National Coordinator for Health Information Technology;</w:t>
      </w:r>
    </w:p>
    <w:p w14:paraId="0482D61C" w14:textId="77777777" w:rsidR="0050369F" w:rsidRDefault="00C479CD">
      <w:pPr>
        <w:pStyle w:val="ListParagraph"/>
        <w:numPr>
          <w:ilvl w:val="0"/>
          <w:numId w:val="2"/>
        </w:numPr>
      </w:pPr>
      <w:r>
        <w:t>be updated not less than quarterly; and</w:t>
      </w:r>
    </w:p>
    <w:p w14:paraId="2A5CAFB6" w14:textId="77777777" w:rsidR="0050369F" w:rsidRDefault="00C479CD">
      <w:pPr>
        <w:pStyle w:val="ListParagraph"/>
        <w:numPr>
          <w:ilvl w:val="0"/>
          <w:numId w:val="2"/>
        </w:numPr>
      </w:pPr>
      <w:r>
        <w:t>be accompanied by a plain-language consumer guide explaining how to interpret and use the published prices.</w:t>
      </w:r>
    </w:p>
    <w:p w14:paraId="40CDB428" w14:textId="77777777" w:rsidR="0050369F" w:rsidRDefault="00C479CD">
      <w:r>
        <w:rPr>
          <w:b/>
        </w:rPr>
        <w:t>(c) National Healthcare Price Comparison Portal.</w:t>
      </w:r>
    </w:p>
    <w:p w14:paraId="2E85309C" w14:textId="77777777" w:rsidR="0050369F" w:rsidRDefault="00C479CD">
      <w:r>
        <w:t>(1) Establishment. — Not later than 24 months after the effective date of final rules under section 501(c), the Secretary, acting through the Centers for Medicare and Medicaid Services and the Office of the National Coordinator for Health Information Technology, shall establish and maintain a publicly accessible, free-of-charge National Healthcare Price Comparison Portal (hereinafter the "Portal").</w:t>
      </w:r>
    </w:p>
    <w:p w14:paraId="46A68E7D" w14:textId="77777777" w:rsidR="0050369F" w:rsidRDefault="00C479CD">
      <w:r>
        <w:t>(2) Functions. — The Portal shall—</w:t>
      </w:r>
    </w:p>
    <w:p w14:paraId="7EB525A0" w14:textId="77777777" w:rsidR="0050369F" w:rsidRDefault="00C479CD">
      <w:pPr>
        <w:numPr>
          <w:ilvl w:val="0"/>
          <w:numId w:val="1"/>
        </w:numPr>
      </w:pPr>
      <w:r>
        <w:t>aggregate and display bundled price data ingested via FHIR-compliant APIs from all hospitals subject to section 101, updated not less than quarterly;</w:t>
      </w:r>
    </w:p>
    <w:p w14:paraId="067171A0" w14:textId="77777777" w:rsidR="0050369F" w:rsidRDefault="00C479CD">
      <w:pPr>
        <w:numPr>
          <w:ilvl w:val="0"/>
          <w:numId w:val="1"/>
        </w:numPr>
      </w:pPr>
      <w:r>
        <w:t>enable consumers to compare prices for covered services across hospitals by geographic area, service category, and insurance type;</w:t>
      </w:r>
    </w:p>
    <w:p w14:paraId="4920BC66" w14:textId="77777777" w:rsidR="0050369F" w:rsidRDefault="00C479CD">
      <w:pPr>
        <w:numPr>
          <w:ilvl w:val="0"/>
          <w:numId w:val="1"/>
        </w:numPr>
      </w:pPr>
      <w:r>
        <w:t>display estimated out-of-pocket costs by insurance plan type where such data is available;</w:t>
      </w:r>
    </w:p>
    <w:p w14:paraId="07E87484" w14:textId="77777777" w:rsidR="0050369F" w:rsidRDefault="00C479CD">
      <w:pPr>
        <w:numPr>
          <w:ilvl w:val="0"/>
          <w:numId w:val="1"/>
        </w:numPr>
      </w:pPr>
      <w:r>
        <w:t>be accessible via mobile device and conform to accessibility standards under section 508 of the Rehabilitation Act of 1973 (29 U.S.C. § 794d); and</w:t>
      </w:r>
    </w:p>
    <w:p w14:paraId="7BCAAF29" w14:textId="77777777" w:rsidR="0050369F" w:rsidRDefault="00C479CD">
      <w:pPr>
        <w:numPr>
          <w:ilvl w:val="0"/>
          <w:numId w:val="1"/>
        </w:numPr>
      </w:pPr>
      <w:r>
        <w:t>include a publicly accessible data feed through which third-party developers, researchers, and journalists may access aggregated price data in machine-readable format, subject to terms of use established by the Secretary.</w:t>
      </w:r>
    </w:p>
    <w:p w14:paraId="29AEB57A" w14:textId="77777777" w:rsidR="0050369F" w:rsidRDefault="00C479CD">
      <w:r>
        <w:t>(3) Data Quality Enforcement. — The Secretary shall flag and investigate hospitals whose Portal-submitted data reflects material inconsistencies, implausible price ranges, or patterns suggesting noncompliance with the bundled price definition of section 101(a)(2). Confirmed data quality violations shall be referred for civil monetary penalty imposition under section 101(c).</w:t>
      </w:r>
    </w:p>
    <w:p w14:paraId="2E74CD48" w14:textId="77777777" w:rsidR="0050369F" w:rsidRDefault="00C479CD">
      <w:r>
        <w:t>(4) Annual Portal Report. — Not later than 18 months after the Portal launch and annually thereafter, the Secretary shall submit to Congress a report on Portal utilization, data completeness rates by hospital category, consumer complaint patterns, and recommendations for improving price transparency effectiveness.</w:t>
      </w:r>
    </w:p>
    <w:p w14:paraId="51F41354" w14:textId="77777777" w:rsidR="0050369F" w:rsidRDefault="0050369F"/>
    <w:p w14:paraId="1B9664FF" w14:textId="77777777" w:rsidR="0050369F" w:rsidRDefault="00C479CD">
      <w:pPr>
        <w:pStyle w:val="Heading2"/>
      </w:pPr>
      <w:r>
        <w:t>(c) Enforcement and Civil Penalties.</w:t>
      </w:r>
    </w:p>
    <w:p w14:paraId="73AD3831" w14:textId="77777777" w:rsidR="0050369F" w:rsidRDefault="00C479CD">
      <w:r>
        <w:lastRenderedPageBreak/>
        <w:t>(1) Penalty Schedule. — The Secretary shall impose civil monetary penalties for noncompliance as follows:</w:t>
      </w:r>
    </w:p>
    <w:p w14:paraId="57519A6C" w14:textId="77777777" w:rsidR="0050369F" w:rsidRDefault="00C479CD">
      <w:pPr>
        <w:pStyle w:val="ListParagraph"/>
        <w:numPr>
          <w:ilvl w:val="0"/>
          <w:numId w:val="2"/>
        </w:numPr>
      </w:pPr>
      <w:r>
        <w:t>$500 per day for the first 90 days of noncompliance;</w:t>
      </w:r>
    </w:p>
    <w:p w14:paraId="709E0D5A" w14:textId="77777777" w:rsidR="0050369F" w:rsidRDefault="00C479CD">
      <w:pPr>
        <w:pStyle w:val="ListParagraph"/>
        <w:numPr>
          <w:ilvl w:val="0"/>
          <w:numId w:val="2"/>
        </w:numPr>
      </w:pPr>
      <w:r>
        <w:t>$2,000 per day for days 91 through 180 of noncompliance; and</w:t>
      </w:r>
    </w:p>
    <w:p w14:paraId="7A733A04" w14:textId="77777777" w:rsidR="0050369F" w:rsidRDefault="00C479CD">
      <w:pPr>
        <w:pStyle w:val="ListParagraph"/>
        <w:numPr>
          <w:ilvl w:val="0"/>
          <w:numId w:val="2"/>
        </w:numPr>
      </w:pPr>
      <w:r>
        <w:t>$5,000 per day for noncompliance exceeding 180 days.</w:t>
      </w:r>
    </w:p>
    <w:p w14:paraId="3185A344" w14:textId="77777777" w:rsidR="0050369F" w:rsidRDefault="0050369F"/>
    <w:p w14:paraId="6ED52C43" w14:textId="77777777" w:rsidR="0050369F" w:rsidRDefault="00C479CD">
      <w:r>
        <w:t>(2) Cap on Penalties. — Total penalties shall not exceed 2 percent of the hospital's aggregate Medicare and Medicaid reimbursements received in the prior fiscal year, as reported to CMS under the hospital cost report (Form CMS-2552). Hospitals that did not receive Federal reimbursements in the prior fiscal year shall not be subject to the 2 percent cap and shall be subject to the per-day penalty schedule without limitation.</w:t>
      </w:r>
    </w:p>
    <w:p w14:paraId="030FE7E7" w14:textId="77777777" w:rsidR="0050369F" w:rsidRDefault="0050369F"/>
    <w:p w14:paraId="14402937" w14:textId="77777777" w:rsidR="0050369F" w:rsidRDefault="00C479CD">
      <w:r>
        <w:t>(3) Constitutional Limitation. — The Secretary may not terminate all participation in Federal health care programs solely for violations of this section. Any suspension of Federal program participation shall be partial, graduated, proportionate to the severity and duration of the violation, and limited to specific reimbursement categories directly related to the compliance failure. Nothing in this paragraph shall limit the Secretary's authority to impose the civil monetary penalties described in paragraph (1).</w:t>
      </w:r>
    </w:p>
    <w:p w14:paraId="7C79E178" w14:textId="77777777" w:rsidR="0050369F" w:rsidRDefault="0050369F"/>
    <w:p w14:paraId="6ACBBC2A" w14:textId="77777777" w:rsidR="0050369F" w:rsidRDefault="00C479CD">
      <w:r>
        <w:t>(4) Technical Assistance. — The Secretary, acting through the Office of the National Coordinator for Health Information Technology, shall establish a technical assistance grant program for hospitals with fewer than 100 beds to support FHIR-compliant API development. Such grants shall be funded through the appropriations authorized in Title VI of this Act. Hospitals receiving technical assistance grants shall not be subject to civil monetary penalties during the period of grant performance, provided they demonstrate good-faith compliance efforts.</w:t>
      </w:r>
    </w:p>
    <w:p w14:paraId="24FE95F7" w14:textId="77777777" w:rsidR="0050369F" w:rsidRDefault="0050369F"/>
    <w:p w14:paraId="55CBDE33" w14:textId="77777777" w:rsidR="0050369F" w:rsidRDefault="0050369F">
      <w:pPr>
        <w:pBdr>
          <w:bottom w:val="single" w:sz="6" w:space="1" w:color="1F3864"/>
        </w:pBdr>
      </w:pPr>
    </w:p>
    <w:p w14:paraId="09183095" w14:textId="77777777" w:rsidR="0050369F" w:rsidRDefault="0050369F"/>
    <w:p w14:paraId="000C86BF" w14:textId="77777777" w:rsidR="0050369F" w:rsidRDefault="00C479CD">
      <w:pPr>
        <w:jc w:val="center"/>
      </w:pPr>
      <w:r>
        <w:rPr>
          <w:rFonts w:ascii="Arial" w:eastAsia="Arial" w:hAnsi="Arial" w:cs="Arial"/>
          <w:b/>
          <w:bCs/>
          <w:color w:val="1F3864"/>
          <w:sz w:val="28"/>
          <w:szCs w:val="28"/>
        </w:rPr>
        <w:t>TITLE II — STRENGTHENING THE NO SURPRISES ACT</w:t>
      </w:r>
    </w:p>
    <w:p w14:paraId="7B99ECDA" w14:textId="77777777" w:rsidR="0050369F" w:rsidRDefault="0050369F"/>
    <w:p w14:paraId="5B20727D" w14:textId="77777777" w:rsidR="0050369F" w:rsidRDefault="00C479CD">
      <w:pPr>
        <w:pStyle w:val="Heading1"/>
      </w:pPr>
      <w:r>
        <w:t>SEC. 201. AMENDMENTS TO THE NO SURPRISES ACT.</w:t>
      </w:r>
    </w:p>
    <w:p w14:paraId="06D5004D" w14:textId="77777777" w:rsidR="0050369F" w:rsidRDefault="00C479CD">
      <w:r>
        <w:t>Section 2799A-1 of the Public Health Service Act (42 U.S.C. 300gg-111) is amended—</w:t>
      </w:r>
    </w:p>
    <w:p w14:paraId="34794A1D" w14:textId="77777777" w:rsidR="0050369F" w:rsidRDefault="0050369F"/>
    <w:p w14:paraId="2C1D0098" w14:textId="77777777" w:rsidR="0050369F" w:rsidRDefault="00C479CD">
      <w:pPr>
        <w:pStyle w:val="Heading2"/>
      </w:pPr>
      <w:r>
        <w:t>(a) Independent Dispute Resolution Timeline.</w:t>
      </w:r>
    </w:p>
    <w:p w14:paraId="6FAC9AB0" w14:textId="77777777" w:rsidR="0050369F" w:rsidRDefault="00C479CD">
      <w:r>
        <w:t>(1) Phase-In. — Beginning on the date that is 3 years after the date of enactment of this Act, and subject to paragraph (2), each certified IDR entity shall conclude independent dispute resolution proceedings within 90 days of initiation.</w:t>
      </w:r>
    </w:p>
    <w:p w14:paraId="4BB7391D" w14:textId="77777777" w:rsidR="0050369F" w:rsidRDefault="0050369F"/>
    <w:p w14:paraId="4F16EC05" w14:textId="77777777" w:rsidR="0050369F" w:rsidRDefault="00C479CD">
      <w:r>
        <w:t>(2) Capacity Prerequisite. — The 90-day requirement under paragraph (1) shall not take effect until the Secretary publishes a written certification, based on verifiable operational data, that—</w:t>
      </w:r>
    </w:p>
    <w:p w14:paraId="3D695787" w14:textId="77777777" w:rsidR="0050369F" w:rsidRDefault="00C479CD">
      <w:pPr>
        <w:pStyle w:val="ListParagraph"/>
        <w:numPr>
          <w:ilvl w:val="0"/>
          <w:numId w:val="2"/>
        </w:numPr>
      </w:pPr>
      <w:r>
        <w:t>the average resolution time across all certified IDR entities for the preceding 6-month period is 120 days or fewer;</w:t>
      </w:r>
    </w:p>
    <w:p w14:paraId="0D4FBC79" w14:textId="77777777" w:rsidR="0050369F" w:rsidRDefault="00C479CD">
      <w:pPr>
        <w:pStyle w:val="ListParagraph"/>
        <w:numPr>
          <w:ilvl w:val="0"/>
          <w:numId w:val="2"/>
        </w:numPr>
      </w:pPr>
      <w:r>
        <w:lastRenderedPageBreak/>
        <w:t>no more than 15 percent of initiated IDR cases have been pending for more than 180 days in the preceding 6-month period; and</w:t>
      </w:r>
    </w:p>
    <w:p w14:paraId="46FE2D0C" w14:textId="77777777" w:rsidR="0050369F" w:rsidRDefault="00C479CD">
      <w:pPr>
        <w:pStyle w:val="ListParagraph"/>
        <w:numPr>
          <w:ilvl w:val="0"/>
          <w:numId w:val="2"/>
        </w:numPr>
      </w:pPr>
      <w:r>
        <w:t>the number of active certified IDR entities is sufficient to process projected case volumes within the 90-day requirement, based on the Secretary's actuarial assessment.</w:t>
      </w:r>
    </w:p>
    <w:p w14:paraId="2012FCF4" w14:textId="77777777" w:rsidR="0050369F" w:rsidRDefault="0050369F"/>
    <w:p w14:paraId="137EDD15" w14:textId="77777777" w:rsidR="0050369F" w:rsidRDefault="00C479CD">
      <w:r>
        <w:t>(3) Interim Standard. — Prior to satisfaction of the capacity prerequisites in paragraph (2), certified IDR entities shall resolve proceedings within 180 days of initiation.</w:t>
      </w:r>
    </w:p>
    <w:p w14:paraId="04F42A33" w14:textId="77777777" w:rsidR="0050369F" w:rsidRDefault="0050369F"/>
    <w:p w14:paraId="2603A984" w14:textId="77777777" w:rsidR="0050369F" w:rsidRDefault="00C479CD">
      <w:pPr>
        <w:pStyle w:val="Heading2"/>
      </w:pPr>
      <w:r>
        <w:t>(b) Patient Billing Protection.</w:t>
      </w:r>
    </w:p>
    <w:p w14:paraId="758AEF43" w14:textId="77777777" w:rsidR="0050369F" w:rsidRDefault="00C479CD">
      <w:r>
        <w:t>During any IDR proceeding initiated under this section, the patient shall be held harmless from billing beyond the applicable in-network cost-sharing amount. No provider, facility, or health plan shall bill, attempt to collect from, or report to a credit agency any amount from a patient that is the subject of a pending IDR proceeding.</w:t>
      </w:r>
    </w:p>
    <w:p w14:paraId="6E09D406" w14:textId="77777777" w:rsidR="0050369F" w:rsidRDefault="0050369F"/>
    <w:p w14:paraId="0A17DF99" w14:textId="77777777" w:rsidR="0050369F" w:rsidRDefault="00C479CD">
      <w:pPr>
        <w:pStyle w:val="Heading2"/>
      </w:pPr>
      <w:r>
        <w:t>(c) IDR Capacity Expansion.</w:t>
      </w:r>
    </w:p>
    <w:p w14:paraId="50E995F8" w14:textId="77777777" w:rsidR="0050369F" w:rsidRDefault="00C479CD">
      <w:r>
        <w:t>(1) Mandate. — The Secretary shall expand the number of certified IDR entities and administrative capacity necessary to meet the timeline requirements of this section, with priority given to achieving the prerequisites in subsection (a)(2) prior to the 3-year implementation date.</w:t>
      </w:r>
    </w:p>
    <w:p w14:paraId="2C2B3D70" w14:textId="77777777" w:rsidR="0050369F" w:rsidRDefault="0050369F"/>
    <w:p w14:paraId="11E0AC36" w14:textId="77777777" w:rsidR="0050369F" w:rsidRDefault="00C479CD">
      <w:r>
        <w:t>(2) Annual Reporting. — Not later than 1 year after enactment and annually thereafter, the Secretary shall report to Congress on: the total number of IDR cases initiated, pending, and resolved; average resolution times by case category; the number of certified IDR entities; and a projection of whether current capacity is sufficient to meet the applicable timeline requirement.</w:t>
      </w:r>
    </w:p>
    <w:p w14:paraId="733B41C5" w14:textId="77777777" w:rsidR="0050369F" w:rsidRDefault="0050369F"/>
    <w:p w14:paraId="43571E93" w14:textId="77777777" w:rsidR="0050369F" w:rsidRDefault="00C479CD">
      <w:pPr>
        <w:pStyle w:val="Heading2"/>
      </w:pPr>
      <w:r>
        <w:t>(d) Office of Billing Integrity.</w:t>
      </w:r>
    </w:p>
    <w:p w14:paraId="003CB88F" w14:textId="77777777" w:rsidR="0050369F" w:rsidRDefault="00C479CD">
      <w:r>
        <w:t>There is hereby established within the Department of Health and Human Services an Office of Billing Integrity, which shall—</w:t>
      </w:r>
    </w:p>
    <w:p w14:paraId="3481008B" w14:textId="77777777" w:rsidR="0050369F" w:rsidRDefault="00C479CD">
      <w:pPr>
        <w:pStyle w:val="ListParagraph"/>
        <w:numPr>
          <w:ilvl w:val="0"/>
          <w:numId w:val="2"/>
        </w:numPr>
      </w:pPr>
      <w:r>
        <w:t>investigate systemic violations of the No Surprises Act and this section;</w:t>
      </w:r>
    </w:p>
    <w:p w14:paraId="53FEAFFC" w14:textId="77777777" w:rsidR="0050369F" w:rsidRDefault="00C479CD">
      <w:pPr>
        <w:pStyle w:val="ListParagraph"/>
        <w:numPr>
          <w:ilvl w:val="0"/>
          <w:numId w:val="2"/>
        </w:numPr>
      </w:pPr>
      <w:r>
        <w:t>receive and process consumer complaints regarding surprise billing;</w:t>
      </w:r>
    </w:p>
    <w:p w14:paraId="6CB23674" w14:textId="77777777" w:rsidR="0050369F" w:rsidRDefault="00C479CD">
      <w:pPr>
        <w:pStyle w:val="ListParagraph"/>
        <w:numPr>
          <w:ilvl w:val="0"/>
          <w:numId w:val="2"/>
        </w:numPr>
      </w:pPr>
      <w:r>
        <w:t>conduct audits of provider and health plan compliance with surprise billing prohibitions; and</w:t>
      </w:r>
    </w:p>
    <w:p w14:paraId="0BDFED2A" w14:textId="77777777" w:rsidR="0050369F" w:rsidRDefault="00C479CD">
      <w:pPr>
        <w:pStyle w:val="ListParagraph"/>
        <w:numPr>
          <w:ilvl w:val="0"/>
          <w:numId w:val="2"/>
        </w:numPr>
      </w:pPr>
      <w:r>
        <w:t>refer cases of systemic non-compliance to the Secretary for civil monetary penalty imposition.</w:t>
      </w:r>
    </w:p>
    <w:p w14:paraId="289A22D3" w14:textId="77777777" w:rsidR="0050369F" w:rsidRDefault="0050369F"/>
    <w:p w14:paraId="3C36C5D4" w14:textId="77777777" w:rsidR="0050369F" w:rsidRDefault="0050369F">
      <w:pPr>
        <w:pBdr>
          <w:bottom w:val="single" w:sz="6" w:space="1" w:color="1F3864"/>
        </w:pBdr>
      </w:pPr>
    </w:p>
    <w:p w14:paraId="1C50334E" w14:textId="77777777" w:rsidR="0050369F" w:rsidRDefault="0050369F"/>
    <w:p w14:paraId="4BCCF048" w14:textId="77777777" w:rsidR="0050369F" w:rsidRDefault="00C479CD">
      <w:pPr>
        <w:jc w:val="center"/>
      </w:pPr>
      <w:r>
        <w:rPr>
          <w:rFonts w:ascii="Arial" w:eastAsia="Arial" w:hAnsi="Arial" w:cs="Arial"/>
          <w:b/>
          <w:bCs/>
          <w:color w:val="1F3864"/>
          <w:sz w:val="28"/>
          <w:szCs w:val="28"/>
        </w:rPr>
        <w:t>TITLE III — PHARMACY BENEFIT MANAGER REFORM</w:t>
      </w:r>
    </w:p>
    <w:p w14:paraId="102AD5CC" w14:textId="77777777" w:rsidR="0050369F" w:rsidRDefault="0050369F"/>
    <w:p w14:paraId="5658AC34" w14:textId="77777777" w:rsidR="0050369F" w:rsidRDefault="00C479CD">
      <w:pPr>
        <w:pStyle w:val="Heading1"/>
      </w:pPr>
      <w:r>
        <w:t>SEC. 301. DEFINITIONS.</w:t>
      </w:r>
    </w:p>
    <w:p w14:paraId="22D33077" w14:textId="77777777" w:rsidR="0050369F" w:rsidRDefault="00C479CD">
      <w:r>
        <w:t>For purposes of this title:</w:t>
      </w:r>
    </w:p>
    <w:p w14:paraId="1AF71C73" w14:textId="77777777" w:rsidR="0050369F" w:rsidRDefault="0050369F"/>
    <w:p w14:paraId="150B2BBE" w14:textId="77777777" w:rsidR="0050369F" w:rsidRDefault="00C479CD">
      <w:r>
        <w:t>(1) 'Pharmacy Benefit Manager' or 'PBM' means any entity, regardless of corporate form or tax-exempt status, that contracts with a health plan to manage prescription drug benefits, including formulary design, pharmacy network management, drug utilization review, and claims adjudication.</w:t>
      </w:r>
    </w:p>
    <w:p w14:paraId="6899C1D5" w14:textId="77777777" w:rsidR="0050369F" w:rsidRDefault="00C479CD">
      <w:r>
        <w:t>(1A) 'Affiliate' means any entity that directly or indirectly controls, is controlled by, or is under common control with the PBM, including parent companies, subsidiaries, sister entities, and any entity in which the PBM holds a material ownership or governance interest. For purposes of this definition, 'control' means the possession, direct or indirect, of the power to direct or cause the direction of the management and policies of an entity.</w:t>
      </w:r>
    </w:p>
    <w:p w14:paraId="6DADEFDA" w14:textId="77777777" w:rsidR="0050369F" w:rsidRDefault="0050369F"/>
    <w:p w14:paraId="44D7787A" w14:textId="77777777" w:rsidR="0050369F" w:rsidRDefault="00C479CD">
      <w:r>
        <w:t>(2) 'Federally regulated plan' includes—</w:t>
      </w:r>
    </w:p>
    <w:p w14:paraId="1935CAF2" w14:textId="77777777" w:rsidR="0050369F" w:rsidRDefault="00C479CD">
      <w:pPr>
        <w:pStyle w:val="ListParagraph"/>
        <w:numPr>
          <w:ilvl w:val="0"/>
          <w:numId w:val="2"/>
        </w:numPr>
      </w:pPr>
      <w:r>
        <w:t>Medicare Part D and Medicare Advantage prescription drug plans;</w:t>
      </w:r>
    </w:p>
    <w:p w14:paraId="3FB76B99" w14:textId="77777777" w:rsidR="0050369F" w:rsidRDefault="00C479CD">
      <w:pPr>
        <w:pStyle w:val="ListParagraph"/>
        <w:numPr>
          <w:ilvl w:val="0"/>
          <w:numId w:val="2"/>
        </w:numPr>
      </w:pPr>
      <w:r>
        <w:t>Medicaid managed care organizations and fee-for-service pharmacy programs;</w:t>
      </w:r>
    </w:p>
    <w:p w14:paraId="7AA7A392" w14:textId="77777777" w:rsidR="0050369F" w:rsidRDefault="00C479CD">
      <w:pPr>
        <w:pStyle w:val="ListParagraph"/>
        <w:numPr>
          <w:ilvl w:val="0"/>
          <w:numId w:val="2"/>
        </w:numPr>
      </w:pPr>
      <w:r>
        <w:t>health benefit plans offered on Affordable Care Act marketplaces;</w:t>
      </w:r>
    </w:p>
    <w:p w14:paraId="0C3B13D3" w14:textId="77777777" w:rsidR="0050369F" w:rsidRDefault="00C479CD">
      <w:pPr>
        <w:pStyle w:val="ListParagraph"/>
        <w:numPr>
          <w:ilvl w:val="0"/>
          <w:numId w:val="2"/>
        </w:numPr>
      </w:pPr>
      <w:r>
        <w:t>ERISA-governed employer-sponsored group health plans, including self-insured plans;</w:t>
      </w:r>
    </w:p>
    <w:p w14:paraId="51743BD3" w14:textId="77777777" w:rsidR="0050369F" w:rsidRDefault="00C479CD">
      <w:pPr>
        <w:pStyle w:val="ListParagraph"/>
        <w:numPr>
          <w:ilvl w:val="0"/>
          <w:numId w:val="2"/>
        </w:numPr>
      </w:pPr>
      <w:r>
        <w:t>Federal Employees Health Benefits plans; and</w:t>
      </w:r>
    </w:p>
    <w:p w14:paraId="7327F400" w14:textId="77777777" w:rsidR="0050369F" w:rsidRDefault="00C479CD">
      <w:pPr>
        <w:pStyle w:val="ListParagraph"/>
        <w:numPr>
          <w:ilvl w:val="0"/>
          <w:numId w:val="2"/>
        </w:numPr>
      </w:pPr>
      <w:r>
        <w:t>any other plan receiving Federal financial assistance for prescription drug coverage.</w:t>
      </w:r>
    </w:p>
    <w:p w14:paraId="5EC8A8D9" w14:textId="77777777" w:rsidR="0050369F" w:rsidRDefault="0050369F"/>
    <w:p w14:paraId="5302689E" w14:textId="77777777" w:rsidR="0050369F" w:rsidRDefault="00C479CD">
      <w:r>
        <w:t>(3) 'Covered manufacturer payment' means any payment, discount, rebate, price concession, administrative fee, data analytics fee, formulary optimization fee, or other remuneration, direct or indirect, received by a PBM from any entity in the pharmaceutical supply chain—including manufacturers, wholesalers, distributors, specialty pharmacies, and group purchasing organizations—in connection with formulary placement, utilization management, prior authorization practices, step therapy requirements, prescription drug coverage decisions, or market access. This definition is functional: the economic substance of the payment, not its label, determines whether it constitutes a covered manufacturer payment.</w:t>
      </w:r>
    </w:p>
    <w:p w14:paraId="1E7462CC" w14:textId="77777777" w:rsidR="0050369F" w:rsidRDefault="0050369F"/>
    <w:p w14:paraId="71FEE713" w14:textId="77777777" w:rsidR="0050369F" w:rsidRDefault="00C479CD">
      <w:r>
        <w:t>(4) 'Spread pricing' means the practice by which a PBM charges a health plan an amount for a prescription drug that exceeds the amount the PBM reimburses to the dispensing pharmacy for that drug.</w:t>
      </w:r>
    </w:p>
    <w:p w14:paraId="5AF3C23B" w14:textId="77777777" w:rsidR="0050369F" w:rsidRDefault="0050369F"/>
    <w:p w14:paraId="546F34DD" w14:textId="77777777" w:rsidR="0050369F" w:rsidRDefault="00C479CD">
      <w:pPr>
        <w:pStyle w:val="Heading1"/>
      </w:pPr>
      <w:r>
        <w:t>SEC. 302. 100 PERCENT PASS-THROUGH OF COVERED MANUFACTURER PAYMENTS.</w:t>
      </w:r>
    </w:p>
    <w:p w14:paraId="494BDD8C" w14:textId="77777777" w:rsidR="0050369F" w:rsidRDefault="00C479CD">
      <w:r>
        <w:t>(a) Pass-Through Requirement. — A PBM servicing a federally regulated plan shall pass through 100 percent of all covered manufacturer payments (as defined in section 301(3)) to—</w:t>
      </w:r>
    </w:p>
    <w:p w14:paraId="7E7F26D6" w14:textId="77777777" w:rsidR="0050369F" w:rsidRDefault="00C479CD">
      <w:pPr>
        <w:pStyle w:val="ListParagraph"/>
        <w:numPr>
          <w:ilvl w:val="0"/>
          <w:numId w:val="2"/>
        </w:numPr>
      </w:pPr>
      <w:r>
        <w:t>the plan sponsor; or</w:t>
      </w:r>
    </w:p>
    <w:p w14:paraId="6F01DDEB" w14:textId="77777777" w:rsidR="0050369F" w:rsidRDefault="00C479CD">
      <w:pPr>
        <w:pStyle w:val="ListParagraph"/>
        <w:numPr>
          <w:ilvl w:val="0"/>
          <w:numId w:val="2"/>
        </w:numPr>
      </w:pPr>
      <w:r>
        <w:t>the beneficiary at the point of sale, in the form of a reduced cost-sharing amount.</w:t>
      </w:r>
    </w:p>
    <w:p w14:paraId="35AB7C14" w14:textId="77777777" w:rsidR="0050369F" w:rsidRDefault="0050369F"/>
    <w:p w14:paraId="0EC3E0E9" w14:textId="77777777" w:rsidR="0050369F" w:rsidRDefault="00C479CD">
      <w:r>
        <w:t>(b) Prohibition on Retention. — No covered manufacturer payment shall be retained as revenue by the PBM. The PBM may charge the plan sponsor a separately disclosed, cost-justified administrative fee for PBM services, subject to the requirements of section 303.</w:t>
      </w:r>
    </w:p>
    <w:p w14:paraId="0B9815BA" w14:textId="77777777" w:rsidR="0050369F" w:rsidRDefault="0050369F"/>
    <w:p w14:paraId="64863432" w14:textId="77777777" w:rsidR="0050369F" w:rsidRDefault="00C479CD">
      <w:r>
        <w:lastRenderedPageBreak/>
        <w:t>(c) Timing. — Pass-through of covered manufacturer payments shall occur not later than 30 days after receipt by the PBM or, for rebates subject to manufacturer reconciliation processes, not later than 30 days after final reconciliation.</w:t>
      </w:r>
    </w:p>
    <w:p w14:paraId="0B8D41C7" w14:textId="77777777" w:rsidR="0050369F" w:rsidRDefault="0050369F"/>
    <w:p w14:paraId="45211A14" w14:textId="77777777" w:rsidR="0050369F" w:rsidRDefault="00C479CD">
      <w:r>
        <w:t>(d) Anti-Evasion. — A PBM shall not restructure, reclassify, or route covered manufacturer payments through affiliates, subsidiaries, or related entities for the purpose of evading the requirements of this section. The Federal Trade Commission shall have authority to determine, by rule or adjudication, whether a payment arrangement constitutes evasion of this section.</w:t>
      </w:r>
    </w:p>
    <w:p w14:paraId="21F2403E" w14:textId="77777777" w:rsidR="0050369F" w:rsidRDefault="0050369F"/>
    <w:p w14:paraId="65974F3B" w14:textId="77777777" w:rsidR="0050369F" w:rsidRDefault="00C479CD">
      <w:pPr>
        <w:pStyle w:val="Heading1"/>
      </w:pPr>
      <w:r>
        <w:t>SEC. 303. PROHIBITION ON SPREAD PRICING.</w:t>
      </w:r>
    </w:p>
    <w:p w14:paraId="78C779EC" w14:textId="77777777" w:rsidR="0050369F" w:rsidRDefault="00C479CD">
      <w:r>
        <w:t>(a) General Prohibition. — A PBM servicing a federally regulated plan shall not charge the plan more for a prescription drug than the amount reimbursed to the dispensing pharmacy for that drug, plus a reasonable, cost-justified administrative fee meeting the requirements of subsection (b).</w:t>
      </w:r>
    </w:p>
    <w:p w14:paraId="179D5DBB" w14:textId="77777777" w:rsidR="0050369F" w:rsidRDefault="0050369F"/>
    <w:p w14:paraId="0B218051" w14:textId="77777777" w:rsidR="0050369F" w:rsidRDefault="00C479CD">
      <w:r>
        <w:t>(b) Administrative Fee Standards. — An administrative fee charged under this section shall—</w:t>
      </w:r>
    </w:p>
    <w:p w14:paraId="1F444B71" w14:textId="77777777" w:rsidR="0050369F" w:rsidRDefault="00C479CD">
      <w:pPr>
        <w:pStyle w:val="ListParagraph"/>
        <w:numPr>
          <w:ilvl w:val="0"/>
          <w:numId w:val="2"/>
        </w:numPr>
      </w:pPr>
      <w:r>
        <w:t>reflect the bona fide cost of PBM services rendered, documented by internal cost accounting;</w:t>
      </w:r>
    </w:p>
    <w:p w14:paraId="1A0EE161" w14:textId="77777777" w:rsidR="0050369F" w:rsidRDefault="00C479CD">
      <w:pPr>
        <w:pStyle w:val="ListParagraph"/>
        <w:numPr>
          <w:ilvl w:val="0"/>
          <w:numId w:val="2"/>
        </w:numPr>
      </w:pPr>
      <w:r>
        <w:t>not replicate spread pricing through alternative labeling or fee reclassification;</w:t>
      </w:r>
    </w:p>
    <w:p w14:paraId="47E909F9" w14:textId="77777777" w:rsidR="0050369F" w:rsidRDefault="00C479CD">
      <w:pPr>
        <w:pStyle w:val="ListParagraph"/>
        <w:numPr>
          <w:ilvl w:val="0"/>
          <w:numId w:val="2"/>
        </w:numPr>
      </w:pPr>
      <w:r>
        <w:t>be fully disclosed to the plan sponsor in the PBM contract and in quarterly reports;</w:t>
      </w:r>
    </w:p>
    <w:p w14:paraId="52307716" w14:textId="77777777" w:rsidR="0050369F" w:rsidRDefault="00C479CD">
      <w:pPr>
        <w:pStyle w:val="ListParagraph"/>
        <w:numPr>
          <w:ilvl w:val="0"/>
          <w:numId w:val="2"/>
        </w:numPr>
      </w:pPr>
      <w:r>
        <w:t>be auditable by the plan sponsor and by Federal regulators; and</w:t>
      </w:r>
    </w:p>
    <w:p w14:paraId="28557AD5" w14:textId="77777777" w:rsidR="0050369F" w:rsidRDefault="00C479CD">
      <w:pPr>
        <w:pStyle w:val="ListParagraph"/>
        <w:numPr>
          <w:ilvl w:val="0"/>
          <w:numId w:val="2"/>
        </w:numPr>
      </w:pPr>
      <w:r>
        <w:t>be determined to be reasonable under regulations promulgated by the Federal Trade Commission pursuant to subsection (c).</w:t>
      </w:r>
    </w:p>
    <w:p w14:paraId="7256102C" w14:textId="77777777" w:rsidR="0050369F" w:rsidRDefault="0050369F"/>
    <w:p w14:paraId="6AB75D2C" w14:textId="77777777" w:rsidR="0050369F" w:rsidRDefault="00C479CD">
      <w:r>
        <w:t>(c) FTC Rulemaking. — Not later than 18 months after the date of enactment of this Act, the Federal Trade Commission shall promulgate final regulations defining reasonable administrative fee standards and permissible cost categories under this section. Such regulations shall be promulgated pursuant to the notice-and-comment procedures of section 553 of title 5, United States Code (and not pursuant to the procedures of section 18 of the Federal Trade Commission Act), and shall be subject to a public comment period of not less than 60 days. The Commission shall publish a proposed rule not later than 9 months after enactment and shall provide for expedited review of public comments to meet the 18-month deadline.</w:t>
      </w:r>
    </w:p>
    <w:p w14:paraId="177E3E1F" w14:textId="77777777" w:rsidR="0050369F" w:rsidRDefault="0050369F"/>
    <w:p w14:paraId="6121FCA2" w14:textId="77777777" w:rsidR="0050369F" w:rsidRDefault="00C479CD">
      <w:r>
        <w:t>(d) Interim Standard. — Prior to the effective date of final regulations under subsection (c), administrative fees shall be deemed reasonable only if they do not exceed the PBM's documented per-claim cost of administration, as certified by the PBM's chief financial officer and provided to the plan sponsor upon request. A false certification under this subsection shall constitute a violation subject to civil penalties under section 304(e) and shall be referred to the Department of Justice for potential prosecution under 18 U.S.C. § 1001 (false statements to the Federal Government).</w:t>
      </w:r>
    </w:p>
    <w:p w14:paraId="6FE5B6BA" w14:textId="77777777" w:rsidR="0050369F" w:rsidRDefault="0050369F"/>
    <w:p w14:paraId="5AA002A4" w14:textId="77777777" w:rsidR="0050369F" w:rsidRDefault="00C479CD">
      <w:pPr>
        <w:pStyle w:val="Heading1"/>
      </w:pPr>
      <w:r>
        <w:t>SEC. 304. MANDATORY QUARTERLY REPORTING.</w:t>
      </w:r>
    </w:p>
    <w:p w14:paraId="47923E32" w14:textId="77777777" w:rsidR="0050369F" w:rsidRDefault="00C479CD">
      <w:r>
        <w:lastRenderedPageBreak/>
        <w:t>(a) Reporting Obligation. — Each PBM servicing a federally regulated plan shall submit quarterly reports to the Secretary and the Federal Trade Commission, not later than 45 days after the close of each calendar quarter.</w:t>
      </w:r>
    </w:p>
    <w:p w14:paraId="5068DE3A" w14:textId="77777777" w:rsidR="0050369F" w:rsidRDefault="0050369F"/>
    <w:p w14:paraId="62223DA5" w14:textId="77777777" w:rsidR="0050369F" w:rsidRDefault="00C479CD">
      <w:r>
        <w:t>(b) Public Disclosures. — The following information shall be disclosed publicly, in aggregate form by therapeutic category:</w:t>
      </w:r>
    </w:p>
    <w:p w14:paraId="56A3D654" w14:textId="77777777" w:rsidR="0050369F" w:rsidRDefault="00C479CD">
      <w:pPr>
        <w:pStyle w:val="ListParagraph"/>
        <w:numPr>
          <w:ilvl w:val="0"/>
          <w:numId w:val="2"/>
        </w:numPr>
      </w:pPr>
      <w:r>
        <w:t>total covered manufacturer payments received;</w:t>
      </w:r>
    </w:p>
    <w:p w14:paraId="66624A3A" w14:textId="77777777" w:rsidR="0050369F" w:rsidRDefault="00C479CD">
      <w:pPr>
        <w:pStyle w:val="ListParagraph"/>
        <w:numPr>
          <w:ilvl w:val="0"/>
          <w:numId w:val="2"/>
        </w:numPr>
      </w:pPr>
      <w:r>
        <w:t>total covered manufacturer payments passed through to plan sponsors and beneficiaries;</w:t>
      </w:r>
    </w:p>
    <w:p w14:paraId="63C67A9F" w14:textId="77777777" w:rsidR="0050369F" w:rsidRDefault="00C479CD">
      <w:pPr>
        <w:pStyle w:val="ListParagraph"/>
        <w:numPr>
          <w:ilvl w:val="0"/>
          <w:numId w:val="2"/>
        </w:numPr>
      </w:pPr>
      <w:r>
        <w:t>aggregate spread pricing amounts, if any, identified under prior-period audits;</w:t>
      </w:r>
    </w:p>
    <w:p w14:paraId="505B00A6" w14:textId="77777777" w:rsidR="0050369F" w:rsidRDefault="00C479CD">
      <w:pPr>
        <w:pStyle w:val="ListParagraph"/>
        <w:numPr>
          <w:ilvl w:val="0"/>
          <w:numId w:val="2"/>
        </w:numPr>
      </w:pPr>
      <w:r>
        <w:t>aggregate administrative fee revenue by service category;</w:t>
      </w:r>
    </w:p>
    <w:p w14:paraId="4E34C6CE" w14:textId="77777777" w:rsidR="0050369F" w:rsidRDefault="00C479CD">
      <w:pPr>
        <w:pStyle w:val="ListParagraph"/>
        <w:numPr>
          <w:ilvl w:val="0"/>
          <w:numId w:val="2"/>
        </w:numPr>
      </w:pPr>
      <w:r>
        <w:t>aggregate summaries of formulary placement decision criteria and changes by therapeutic category, including the basis for tier placement and any changes to prior authorization or step therapy requirements; and</w:t>
      </w:r>
    </w:p>
    <w:p w14:paraId="59BBB942" w14:textId="77777777" w:rsidR="0050369F" w:rsidRDefault="00C479CD">
      <w:pPr>
        <w:pStyle w:val="ListParagraph"/>
        <w:numPr>
          <w:ilvl w:val="0"/>
          <w:numId w:val="2"/>
        </w:numPr>
      </w:pPr>
      <w:r>
        <w:t>generic dispensing rates and formulary tier utilization statistics.</w:t>
      </w:r>
    </w:p>
    <w:p w14:paraId="11BEEC73" w14:textId="77777777" w:rsidR="0050369F" w:rsidRDefault="0050369F"/>
    <w:p w14:paraId="6481B897" w14:textId="77777777" w:rsidR="0050369F" w:rsidRDefault="00C479CD">
      <w:r>
        <w:t>(c) Confidential Regulatory Disclosures. — The following information shall be submitted to the Federal Trade Commission on a confidential basis and shall be protected under 15 U.S.C. § 57b-2 (FTC confidentiality authority):</w:t>
      </w:r>
    </w:p>
    <w:p w14:paraId="5F935743" w14:textId="77777777" w:rsidR="0050369F" w:rsidRDefault="00C479CD">
      <w:pPr>
        <w:pStyle w:val="ListParagraph"/>
        <w:numPr>
          <w:ilvl w:val="0"/>
          <w:numId w:val="2"/>
        </w:numPr>
      </w:pPr>
      <w:r>
        <w:t>manufacturer-specific covered payment amounts, by drug and by contract;</w:t>
      </w:r>
    </w:p>
    <w:p w14:paraId="3287A073" w14:textId="77777777" w:rsidR="0050369F" w:rsidRDefault="00C479CD">
      <w:pPr>
        <w:pStyle w:val="ListParagraph"/>
        <w:numPr>
          <w:ilvl w:val="0"/>
          <w:numId w:val="2"/>
        </w:numPr>
      </w:pPr>
      <w:r>
        <w:t>individual formulary placement agreements and associated payment terms;</w:t>
      </w:r>
    </w:p>
    <w:p w14:paraId="18231FF7" w14:textId="77777777" w:rsidR="0050369F" w:rsidRDefault="00C479CD">
      <w:pPr>
        <w:pStyle w:val="ListParagraph"/>
        <w:numPr>
          <w:ilvl w:val="0"/>
          <w:numId w:val="2"/>
        </w:numPr>
      </w:pPr>
      <w:r>
        <w:t>the top 25 drugs by covered manufacturer payment volume, with manufacturer identification; and</w:t>
      </w:r>
    </w:p>
    <w:p w14:paraId="168E0573" w14:textId="77777777" w:rsidR="0050369F" w:rsidRDefault="00C479CD">
      <w:pPr>
        <w:pStyle w:val="ListParagraph"/>
        <w:numPr>
          <w:ilvl w:val="0"/>
          <w:numId w:val="2"/>
        </w:numPr>
      </w:pPr>
      <w:r>
        <w:t>any data determined by the FTC to be competitively sensitive under its regulations.</w:t>
      </w:r>
    </w:p>
    <w:p w14:paraId="6173C186" w14:textId="77777777" w:rsidR="0050369F" w:rsidRDefault="0050369F"/>
    <w:p w14:paraId="30D42D16" w14:textId="77777777" w:rsidR="0050369F" w:rsidRDefault="00C479CD">
      <w:r>
        <w:t>(d) Trade Secret Treatment. — Manufacturer-specific contractual data submitted to the FTC under subsection (c) shall be protected as follows:</w:t>
      </w:r>
    </w:p>
    <w:p w14:paraId="56D2850D" w14:textId="77777777" w:rsidR="0050369F" w:rsidRDefault="00C479CD">
      <w:pPr>
        <w:pStyle w:val="ListParagraph"/>
        <w:numPr>
          <w:ilvl w:val="0"/>
          <w:numId w:val="2"/>
        </w:numPr>
      </w:pPr>
      <w:r>
        <w:t>such data shall be maintained under the confidentiality provisions of 15 U.S.C. § 57b-2 and shall not be disclosed in response to Freedom of Information Act requests, which shall be evaluated under 5 U.S.C. § 552(b)(4) (Exemption 4), as interpreted by Food Marketing Institute v. Argus Leader Media, 139 S. Ct. 2356 (2019);</w:t>
      </w:r>
    </w:p>
    <w:p w14:paraId="65471851" w14:textId="77777777" w:rsidR="0050369F" w:rsidRDefault="00C479CD">
      <w:pPr>
        <w:pStyle w:val="ListParagraph"/>
        <w:numPr>
          <w:ilvl w:val="0"/>
          <w:numId w:val="2"/>
        </w:numPr>
      </w:pPr>
      <w:r>
        <w:t>the FTC may share such data with the Department of Health and Human Services and the Department of Justice for enforcement purposes, subject to applicable confidentiality agreements; and</w:t>
      </w:r>
    </w:p>
    <w:p w14:paraId="737CB809" w14:textId="77777777" w:rsidR="0050369F" w:rsidRDefault="00C479CD">
      <w:pPr>
        <w:pStyle w:val="ListParagraph"/>
        <w:numPr>
          <w:ilvl w:val="0"/>
          <w:numId w:val="2"/>
        </w:numPr>
      </w:pPr>
      <w:r>
        <w:t>nothing in this subsection shall prevent the FTC from publishing aggregated, anonymized analyses derived from confidential data.</w:t>
      </w:r>
    </w:p>
    <w:p w14:paraId="12AD1E98" w14:textId="77777777" w:rsidR="0050369F" w:rsidRDefault="0050369F"/>
    <w:p w14:paraId="167B614C" w14:textId="77777777" w:rsidR="0050369F" w:rsidRDefault="00C479CD">
      <w:r>
        <w:t>(e) Enforcement. — Failure to comply with the reporting requirements of this section shall result in—</w:t>
      </w:r>
    </w:p>
    <w:p w14:paraId="16505D4E" w14:textId="77777777" w:rsidR="0050369F" w:rsidRDefault="00C479CD">
      <w:pPr>
        <w:pStyle w:val="ListParagraph"/>
        <w:numPr>
          <w:ilvl w:val="0"/>
          <w:numId w:val="2"/>
        </w:numPr>
      </w:pPr>
      <w:r>
        <w:t>civil penalties of not less than $50,000 per violation, with each quarter of noncompliance constituting a separate violation;</w:t>
      </w:r>
    </w:p>
    <w:p w14:paraId="241831C2" w14:textId="77777777" w:rsidR="0050369F" w:rsidRDefault="00C479CD">
      <w:pPr>
        <w:pStyle w:val="ListParagraph"/>
        <w:numPr>
          <w:ilvl w:val="0"/>
          <w:numId w:val="2"/>
        </w:numPr>
      </w:pPr>
      <w:r>
        <w:t>referral to the FTC for investigation and enforcement; and</w:t>
      </w:r>
    </w:p>
    <w:p w14:paraId="4F39B0B3" w14:textId="77777777" w:rsidR="0050369F" w:rsidRDefault="00C479CD">
      <w:pPr>
        <w:pStyle w:val="ListParagraph"/>
        <w:numPr>
          <w:ilvl w:val="0"/>
          <w:numId w:val="2"/>
        </w:numPr>
      </w:pPr>
      <w:r>
        <w:t>suspension of eligibility to contract with federally regulated plans for repeated or willful violations, as determined by the Secretary in coordination with the FTC.</w:t>
      </w:r>
    </w:p>
    <w:p w14:paraId="733C98F8" w14:textId="77777777" w:rsidR="0050369F" w:rsidRDefault="0050369F"/>
    <w:p w14:paraId="76C5490B" w14:textId="77777777" w:rsidR="0050369F" w:rsidRDefault="00C479CD">
      <w:pPr>
        <w:pStyle w:val="Heading1"/>
      </w:pPr>
      <w:r>
        <w:t>SEC. 305. AUDIT RIGHTS AND ENFORCEMENT.</w:t>
      </w:r>
    </w:p>
    <w:p w14:paraId="09901B04" w14:textId="77777777" w:rsidR="0050369F" w:rsidRDefault="00C479CD">
      <w:r>
        <w:lastRenderedPageBreak/>
        <w:t>(a) Plan Sponsor Audit Rights. — Plan sponsors shall retain full audit authority over PBM contracts, including the right to examine all financial records, covered manufacturer payment receipts, spread pricing calculations, administrative fee documentation, and formulary placement agreements.</w:t>
      </w:r>
    </w:p>
    <w:p w14:paraId="78693135" w14:textId="77777777" w:rsidR="0050369F" w:rsidRDefault="0050369F"/>
    <w:p w14:paraId="7691A667" w14:textId="77777777" w:rsidR="0050369F" w:rsidRDefault="00C479CD">
      <w:r>
        <w:t>(b) PBM Compliance Obligation. — PBMs shall provide requested financial records within 60 days of a written audit request by a plan sponsor or Federal regulator. The 60-day period may be extended once, by mutual agreement or by order of the Secretary, for no more than an additional 30 days.</w:t>
      </w:r>
    </w:p>
    <w:p w14:paraId="4CA9A9D7" w14:textId="77777777" w:rsidR="0050369F" w:rsidRDefault="0050369F"/>
    <w:p w14:paraId="23E570A7" w14:textId="77777777" w:rsidR="0050369F" w:rsidRDefault="00C479CD">
      <w:r>
        <w:t>(c) Enforcement. — Failure by a PBM to comply with an audit request shall constitute an unfair trade practice subject to enforcement by the Federal Trade Commission under section 5(a) of the Federal Trade Commission Act (15 U.S.C. § 45(a)).</w:t>
      </w:r>
    </w:p>
    <w:p w14:paraId="341F7E73" w14:textId="77777777" w:rsidR="0050369F" w:rsidRDefault="0050369F"/>
    <w:p w14:paraId="3742DC11" w14:textId="77777777" w:rsidR="0050369F" w:rsidRDefault="00C479CD">
      <w:r>
        <w:t xml:space="preserve">(d) FTC Jurisdiction over Non-Profit PBMs. — Notwithstanding the exemption in section 4 of the Federal Trade Commission Act (15 U.S.C. § 44) for entities not organized for profit, any entity performing PBM functions as defined in section 301(1)—regardless of its corporate form, tax-exempt status, or non-profit classification—shall be deemed to be engaged in commerce for purposes of enforcement under this title. The Federal Trade Commission's jurisdiction under this title is not limited by the non-profit exemption of the FTC Act.         </w:t>
      </w:r>
    </w:p>
    <w:p w14:paraId="1B014D4C" w14:textId="77777777" w:rsidR="0050369F" w:rsidRDefault="00C479CD">
      <w:r>
        <w:t>(e) Civil Investigative Demand Authority. — For purposes of any investigation or enforcement action under this title, the Federal Trade Commission may utilize its civil investigative demand authority under section 20 of the Federal Trade Commission Act (15 U.S.C. § 57b-1) to compel the production of documents, answers to written interrogatories, and oral testimony from any PBM or entity in the pharmaceutical supply chain.</w:t>
      </w:r>
    </w:p>
    <w:p w14:paraId="1BFF1D46" w14:textId="77777777" w:rsidR="0050369F" w:rsidRDefault="0050369F"/>
    <w:p w14:paraId="2512D6E8" w14:textId="77777777" w:rsidR="0050369F" w:rsidRDefault="00C479CD">
      <w:r>
        <w:t>(e) FTC and HHS Coordination. — The Federal Trade Commission shall serve as the lead enforcement agency for violations of sections 302, 303, 304, and 305 of this title. The Secretary of Health and Human Services shall serve as the lead enforcement agency for violations of section 304 reporting obligations involving Medicare and Medicaid. The FTC and HHS shall establish a formal coordination agreement, published in the Federal Register within 180 days of enactment, specifying referral procedures, information sharing protocols, and joint enforcement authorities to prevent duplicative enforcement and coverage gaps.</w:t>
      </w:r>
    </w:p>
    <w:p w14:paraId="5ECB38E7" w14:textId="77777777" w:rsidR="0050369F" w:rsidRDefault="0050369F"/>
    <w:p w14:paraId="3552DFB8" w14:textId="77777777" w:rsidR="0050369F" w:rsidRDefault="0050369F">
      <w:pPr>
        <w:pBdr>
          <w:bottom w:val="single" w:sz="6" w:space="1" w:color="1F3864"/>
        </w:pBdr>
      </w:pPr>
    </w:p>
    <w:p w14:paraId="475D5B9A" w14:textId="77777777" w:rsidR="0050369F" w:rsidRDefault="0050369F"/>
    <w:p w14:paraId="639000E7" w14:textId="77777777" w:rsidR="0050369F" w:rsidRDefault="00C479CD">
      <w:pPr>
        <w:jc w:val="center"/>
      </w:pPr>
      <w:r>
        <w:rPr>
          <w:rFonts w:ascii="Arial" w:eastAsia="Arial" w:hAnsi="Arial" w:cs="Arial"/>
          <w:b/>
          <w:bCs/>
          <w:color w:val="1F3864"/>
          <w:sz w:val="28"/>
          <w:szCs w:val="28"/>
        </w:rPr>
        <w:t>TITLE IV — ERISA CONFORMING AMENDMENTS</w:t>
      </w:r>
    </w:p>
    <w:p w14:paraId="267F9595" w14:textId="77777777" w:rsidR="0050369F" w:rsidRDefault="0050369F"/>
    <w:p w14:paraId="079A2BAE" w14:textId="77777777" w:rsidR="0050369F" w:rsidRDefault="00C479CD">
      <w:pPr>
        <w:pStyle w:val="Heading1"/>
      </w:pPr>
      <w:r>
        <w:t>SEC. 401. AMENDMENT TO ERISA — PRICE TRANSPARENCY REQUIREMENTS.</w:t>
      </w:r>
    </w:p>
    <w:p w14:paraId="408A6EAE" w14:textId="77777777" w:rsidR="0050369F" w:rsidRDefault="00C479CD">
      <w:r>
        <w:t>Part 7 of Subtitle B of Title I of the Employee Retirement Income Security Act of 1974 (29 U.S.C. 1181 et seq.) is amended by adding at the end the following new section:</w:t>
      </w:r>
    </w:p>
    <w:p w14:paraId="19C4D318" w14:textId="77777777" w:rsidR="0050369F" w:rsidRDefault="0050369F"/>
    <w:p w14:paraId="2EE2F6F1" w14:textId="77777777" w:rsidR="0050369F" w:rsidRDefault="00C479CD">
      <w:pPr>
        <w:ind w:left="720"/>
      </w:pPr>
      <w:r>
        <w:rPr>
          <w:b/>
          <w:bCs/>
        </w:rPr>
        <w:lastRenderedPageBreak/>
        <w:t>"§ 716. HEALTHCARE PRICE TRANSPARENCY AND PBM ACCOUNTABILITY REQUIREMENTS.</w:t>
      </w:r>
    </w:p>
    <w:p w14:paraId="5428505E" w14:textId="77777777" w:rsidR="0050369F" w:rsidRDefault="0050369F"/>
    <w:p w14:paraId="29A017AB" w14:textId="77777777" w:rsidR="0050369F" w:rsidRDefault="00C479CD">
      <w:pPr>
        <w:ind w:left="720"/>
      </w:pPr>
      <w:r>
        <w:t>"(a) Price Transparency. — A group health plan that is a self-insured plan (as defined in section 3(1)) shall ensure, as a condition of including any hospital in its provider network, that such hospital complies with the requirements of Section 101 of the Healthcare Price Transparency and PBM Accountability Act of 2027 (including all bundled price disclosure, data accessibility, and enforcement provisions thereunder). A self-insured plan shall incorporate this requirement as an express condition of participation in all network participation agreements executed or renewed on or after the effective date of this section, and shall exercise commercially reasonable efforts to enforce such condition. For purposes of this subsection, commercially reasonable efforts shall include, at minimum: incorporating contractual enforcement rights and audit provisions in all network participation agreements; conducting periodic compliance audits; and exercising the contractual right to suspend or terminate network participation for material noncompliance with the transparency requirements of Section 101. For purposes of this subsection, 'self-insured plan' means a group health plan that is not funded through the purchase of an insurance contract from a licensed insurer.</w:t>
      </w:r>
    </w:p>
    <w:p w14:paraId="7DB8B5B6" w14:textId="77777777" w:rsidR="0050369F" w:rsidRDefault="0050369F"/>
    <w:p w14:paraId="322008F8" w14:textId="77777777" w:rsidR="0050369F" w:rsidRDefault="00C479CD">
      <w:pPr>
        <w:ind w:left="720"/>
      </w:pPr>
      <w:r>
        <w:t>"(b) PBM Accountability. — A group health plan shall ensure that any PBM with which it contracts complies with the requirements of Title III of the Healthcare Price Transparency and PBM Accountability Act of 2027. Failure of a plan to include contractual provisions requiring such PBM compliance, or failure of a plan to exercise audit rights provided under Section 305 of such Act, shall constitute a breach of the plan administrator's fiduciary duty under section 404 of this Act.</w:t>
      </w:r>
    </w:p>
    <w:p w14:paraId="1204E3B2" w14:textId="77777777" w:rsidR="0050369F" w:rsidRDefault="0050369F"/>
    <w:p w14:paraId="609FCFB8" w14:textId="77777777" w:rsidR="0050369F" w:rsidRDefault="00C479CD">
      <w:pPr>
        <w:ind w:left="720"/>
      </w:pPr>
      <w:r>
        <w:t>"(c) Enforcement. —</w:t>
      </w:r>
    </w:p>
    <w:p w14:paraId="6DF0BE8D" w14:textId="77777777" w:rsidR="0050369F" w:rsidRDefault="00C479CD">
      <w:pPr>
        <w:ind w:left="1440"/>
      </w:pPr>
      <w:r>
        <w:t>"(1) Secretary Enforcement. — The Secretary of Labor shall enforce violations of this section pursuant to section 502(a)(5) of this Act (29 U.S.C. § 1132(a)(5)), including the authority to bring civil actions in Federal district court to enjoin violations and to obtain appropriate equitable relief.</w:t>
      </w:r>
    </w:p>
    <w:p w14:paraId="47CB18F7" w14:textId="77777777" w:rsidR="0050369F" w:rsidRDefault="00C479CD">
      <w:pPr>
        <w:ind w:left="1440"/>
      </w:pPr>
      <w:r>
        <w:t>"(2) Plan Participant and Sponsor Actions. — A plan participant, beneficiary, or plan sponsor may bring a civil action pursuant to section 502(a)(3) of this Act (29 U.S.C. § 1132(a)(3)) to obtain appropriate equitable relief to redress violations of this section.</w:t>
      </w:r>
    </w:p>
    <w:p w14:paraId="55898B61" w14:textId="77777777" w:rsidR="0050369F" w:rsidRDefault="00C479CD">
      <w:pPr>
        <w:ind w:left="1440"/>
      </w:pPr>
      <w:r>
        <w:t>"(3) Damages. — Notwithstanding the limitations on relief under section 502(a)(3), a plan sponsor may recover documented financial losses proximately caused by a PBM's violation of the pass-through or spread pricing requirements of Title III of the Healthcare Price Transparency and PBM Accountability Act of 2027, in addition to equitable relief. Such damages shall be recoverable in a civil action brought in Federal district court.</w:t>
      </w:r>
    </w:p>
    <w:p w14:paraId="18B4E54D" w14:textId="77777777" w:rsidR="0050369F" w:rsidRDefault="00C479CD">
      <w:pPr>
        <w:ind w:left="720"/>
      </w:pPr>
      <w:r>
        <w:t>"(d) Preemption Savings. — Nothing in this section shall be construed to preempt any State law that provides protections to plan participants or beneficiaries that are equal to or greater than the protections provided under this section, to the extent that such State law does not impose requirements on the terms or administration of the self-insured plan itself."</w:t>
      </w:r>
    </w:p>
    <w:p w14:paraId="6ECD8560" w14:textId="77777777" w:rsidR="0050369F" w:rsidRDefault="0050369F"/>
    <w:p w14:paraId="5D829BE0" w14:textId="77777777" w:rsidR="0050369F" w:rsidRDefault="00C479CD">
      <w:pPr>
        <w:pStyle w:val="Heading1"/>
      </w:pPr>
      <w:r>
        <w:t>SEC. 402. CONFORMING AMENDMENT — TABLE OF CONTENTS.</w:t>
      </w:r>
    </w:p>
    <w:p w14:paraId="76A2BEB5" w14:textId="77777777" w:rsidR="0050369F" w:rsidRDefault="00C479CD">
      <w:r>
        <w:t>The table of contents for Part 7 of Subtitle B of Title I of the Employee Retirement Income Security Act of 1974 is amended by adding after the item relating to section 715 the following:</w:t>
      </w:r>
    </w:p>
    <w:p w14:paraId="5C7B19E4" w14:textId="77777777" w:rsidR="0050369F" w:rsidRDefault="0050369F"/>
    <w:p w14:paraId="799D2EA5" w14:textId="77777777" w:rsidR="0050369F" w:rsidRDefault="00C479CD">
      <w:pPr>
        <w:ind w:left="720"/>
      </w:pPr>
      <w:r>
        <w:t>"Sec. 716. Healthcare Price Transparency and PBM Accountability Requirements."</w:t>
      </w:r>
    </w:p>
    <w:p w14:paraId="1E136296" w14:textId="77777777" w:rsidR="0050369F" w:rsidRDefault="0050369F"/>
    <w:p w14:paraId="68B9C4AB" w14:textId="77777777" w:rsidR="0050369F" w:rsidRDefault="0050369F">
      <w:pPr>
        <w:pBdr>
          <w:bottom w:val="single" w:sz="6" w:space="1" w:color="1F3864"/>
        </w:pBdr>
      </w:pPr>
    </w:p>
    <w:p w14:paraId="39BACC75" w14:textId="77777777" w:rsidR="0050369F" w:rsidRDefault="0050369F"/>
    <w:p w14:paraId="4E427367" w14:textId="77777777" w:rsidR="0050369F" w:rsidRDefault="00C479CD">
      <w:pPr>
        <w:jc w:val="center"/>
      </w:pPr>
      <w:r>
        <w:rPr>
          <w:rFonts w:ascii="Arial" w:eastAsia="Arial" w:hAnsi="Arial" w:cs="Arial"/>
          <w:b/>
          <w:bCs/>
          <w:color w:val="1F3864"/>
          <w:sz w:val="28"/>
          <w:szCs w:val="28"/>
        </w:rPr>
        <w:t>TITLE V — PHASED IMPLEMENTATION SCHEDULE</w:t>
      </w:r>
    </w:p>
    <w:p w14:paraId="66521A85" w14:textId="77777777" w:rsidR="0050369F" w:rsidRDefault="0050369F"/>
    <w:p w14:paraId="76D053EE" w14:textId="77777777" w:rsidR="0050369F" w:rsidRDefault="00C479CD">
      <w:pPr>
        <w:pStyle w:val="Heading1"/>
      </w:pPr>
      <w:r>
        <w:t>SEC. 501. RULEMAKING TIMELINE.</w:t>
      </w:r>
    </w:p>
    <w:p w14:paraId="3130B5B7" w14:textId="77777777" w:rsidR="0050369F" w:rsidRDefault="00C479CD">
      <w:r>
        <w:t>(a) Proposed Rules. — Not later than 180 days after the date of enactment of this Act, the Secretary of Health and Human Services and the Federal Trade Commission shall each publish proposed rules necessary to implement their respective authorities under this Act.</w:t>
      </w:r>
    </w:p>
    <w:p w14:paraId="34B808D2" w14:textId="77777777" w:rsidR="0050369F" w:rsidRDefault="0050369F"/>
    <w:p w14:paraId="133723E1" w14:textId="77777777" w:rsidR="0050369F" w:rsidRDefault="00C479CD">
      <w:r>
        <w:t>(b) Comment Period. — Each proposed rule shall provide a public comment period of not less than 60 days.</w:t>
      </w:r>
    </w:p>
    <w:p w14:paraId="45681C12" w14:textId="77777777" w:rsidR="0050369F" w:rsidRDefault="0050369F"/>
    <w:p w14:paraId="4609B442" w14:textId="77777777" w:rsidR="0050369F" w:rsidRDefault="00C479CD">
      <w:r>
        <w:t>(c) Final Rules. — Not later than 15 months after the date of enactment of this Act, the Secretary and the FTC shall each publish final rules. All final rules under this Act shall comply with the notice-and-comment requirements of section 553 of title 5, United States Code.</w:t>
      </w:r>
    </w:p>
    <w:p w14:paraId="7D551A05" w14:textId="77777777" w:rsidR="0050369F" w:rsidRDefault="0050369F"/>
    <w:p w14:paraId="44D42E0C" w14:textId="77777777" w:rsidR="0050369F" w:rsidRDefault="00C479CD">
      <w:r>
        <w:t>(d) Interim Final Rules. — For technical and definitional provisions that the Secretary determines satisfy the 'good cause' exception under 5 U.S.C. § 553(b)(B), the Secretary may issue interim final rules with immediate effect, subject to a post-promulgation comment period of not less than 30 days. Interim final rules shall be clearly designated as such and shall be subject to revision based on public comment.</w:t>
      </w:r>
    </w:p>
    <w:p w14:paraId="1AF7627F" w14:textId="77777777" w:rsidR="0050369F" w:rsidRDefault="0050369F"/>
    <w:p w14:paraId="1F8A5757" w14:textId="77777777" w:rsidR="0050369F" w:rsidRDefault="00C479CD">
      <w:r>
        <w:t>(e) FTC Administrative Fee Regulations. — Notwithstanding subsection (c), regulations promulgated by the Federal Trade Commission under section 303(c) of this Act shall be subject to the rulemaking timeline specified in that section (9 months for proposed rule; 18 months for final rule).</w:t>
      </w:r>
    </w:p>
    <w:p w14:paraId="194556BC" w14:textId="77777777" w:rsidR="0050369F" w:rsidRDefault="0050369F"/>
    <w:p w14:paraId="141D31A2" w14:textId="77777777" w:rsidR="0050369F" w:rsidRDefault="00C479CD">
      <w:pPr>
        <w:pStyle w:val="Heading1"/>
      </w:pPr>
      <w:r>
        <w:t>SEC. 502. HOSPITAL COMPLIANCE DEADLINES.</w:t>
      </w:r>
    </w:p>
    <w:p w14:paraId="3F05C455" w14:textId="77777777" w:rsidR="0050369F" w:rsidRDefault="00C479CD">
      <w:r>
        <w:t>Compliance with the price transparency requirements of Title I of this Act shall be phased as follows:</w:t>
      </w:r>
    </w:p>
    <w:p w14:paraId="5B49B85C" w14:textId="77777777" w:rsidR="0050369F" w:rsidRDefault="0050369F"/>
    <w:p w14:paraId="36328634" w14:textId="77777777" w:rsidR="0050369F" w:rsidRDefault="00C479CD">
      <w:pPr>
        <w:pStyle w:val="ListParagraph"/>
        <w:numPr>
          <w:ilvl w:val="0"/>
          <w:numId w:val="2"/>
        </w:numPr>
      </w:pPr>
      <w:r>
        <w:t>Hospitals with 300 or more licensed beds: compliance required by the date that is 12 months after the effective date of the final rule issued under section 501(c);</w:t>
      </w:r>
    </w:p>
    <w:p w14:paraId="4B533821" w14:textId="77777777" w:rsidR="0050369F" w:rsidRDefault="00C479CD">
      <w:pPr>
        <w:pStyle w:val="ListParagraph"/>
        <w:numPr>
          <w:ilvl w:val="0"/>
          <w:numId w:val="2"/>
        </w:numPr>
      </w:pPr>
      <w:r>
        <w:lastRenderedPageBreak/>
        <w:t>Hospitals with 100 to 299 licensed beds: compliance required by the date that is 18 months after the effective date of such final rule;</w:t>
      </w:r>
    </w:p>
    <w:p w14:paraId="529D2F84" w14:textId="77777777" w:rsidR="0050369F" w:rsidRDefault="00C479CD">
      <w:pPr>
        <w:pStyle w:val="ListParagraph"/>
        <w:numPr>
          <w:ilvl w:val="0"/>
          <w:numId w:val="2"/>
        </w:numPr>
      </w:pPr>
      <w:r>
        <w:t>Hospitals with fewer than 100 licensed beds, including critical access hospitals: compliance required by the date that is 24 months after the effective date of such final rule.</w:t>
      </w:r>
    </w:p>
    <w:p w14:paraId="7334B983" w14:textId="77777777" w:rsidR="0050369F" w:rsidRDefault="0050369F"/>
    <w:p w14:paraId="48BDB945" w14:textId="77777777" w:rsidR="0050369F" w:rsidRDefault="00C479CD">
      <w:r>
        <w:t>Civil monetary penalties under section 101(c) shall not accrue prior to the applicable compliance deadline for each hospital category.</w:t>
      </w:r>
    </w:p>
    <w:p w14:paraId="31796E73" w14:textId="77777777" w:rsidR="0050369F" w:rsidRDefault="0050369F"/>
    <w:p w14:paraId="1A8EF836" w14:textId="77777777" w:rsidR="0050369F" w:rsidRDefault="00C479CD">
      <w:pPr>
        <w:pStyle w:val="Heading1"/>
      </w:pPr>
      <w:r>
        <w:t>SEC. 503. PBM CONTRACT TRANSITION.</w:t>
      </w:r>
    </w:p>
    <w:p w14:paraId="79D4FF90" w14:textId="77777777" w:rsidR="0050369F" w:rsidRDefault="00C479CD">
      <w:r>
        <w:t>(a) New Contracts. — PBM contracts executed on or after the effective date of the final rule issued under section 501(c) shall comply with the requirements of Title III of this Act upon execution.</w:t>
      </w:r>
    </w:p>
    <w:p w14:paraId="7B5D303E" w14:textId="77777777" w:rsidR="0050369F" w:rsidRDefault="0050369F"/>
    <w:p w14:paraId="4110C152" w14:textId="77777777" w:rsidR="0050369F" w:rsidRDefault="00C479CD">
      <w:r>
        <w:t>(b) Existing Contracts. — PBM contracts in effect as of the date of enactment of this Act shall be brought into compliance with the requirements of Title III—</w:t>
      </w:r>
    </w:p>
    <w:p w14:paraId="3AD537F0" w14:textId="77777777" w:rsidR="0050369F" w:rsidRDefault="00C479CD">
      <w:pPr>
        <w:pStyle w:val="ListParagraph"/>
        <w:numPr>
          <w:ilvl w:val="0"/>
          <w:numId w:val="2"/>
        </w:numPr>
      </w:pPr>
      <w:r>
        <w:t>at the next scheduled renewal of the contract; or</w:t>
      </w:r>
    </w:p>
    <w:p w14:paraId="20CFC12A" w14:textId="77777777" w:rsidR="0050369F" w:rsidRDefault="00C479CD">
      <w:pPr>
        <w:pStyle w:val="ListParagraph"/>
        <w:numPr>
          <w:ilvl w:val="0"/>
          <w:numId w:val="2"/>
        </w:numPr>
      </w:pPr>
      <w:r>
        <w:t>not later than 24 months after the date of enactment of this Act,</w:t>
      </w:r>
    </w:p>
    <w:p w14:paraId="5D322CF7" w14:textId="77777777" w:rsidR="0050369F" w:rsidRDefault="00C479CD">
      <w:r>
        <w:t>whichever occurs first.</w:t>
      </w:r>
    </w:p>
    <w:p w14:paraId="68F3EF39" w14:textId="77777777" w:rsidR="0050369F" w:rsidRDefault="0050369F"/>
    <w:p w14:paraId="712D4255" w14:textId="77777777" w:rsidR="0050369F" w:rsidRDefault="00C479CD">
      <w:r>
        <w:t>(c) Voiding of Non-Compliant Terms. — Any term or provision of a PBM contract that, as of the applicable compliance deadline under this section, requires conduct prohibited under Title III of this Act shall be void and unenforceable as of such deadline. The requirements of Title III shall be deemed incorporated into all covered PBM contracts as of the applicable compliance deadline, superseding any conflicting contractual terms. A PBM shall not seek damages, penalties, or other relief from a plan sponsor on the basis of a contract term rendered void under this subsection. Nothing in this subsection shall be construed to impair vested payment rights of either party for services lawfully rendered prior to the applicable compliance deadline.</w:t>
      </w:r>
    </w:p>
    <w:p w14:paraId="7056B4E8" w14:textId="77777777" w:rsidR="0050369F" w:rsidRDefault="0050369F"/>
    <w:p w14:paraId="49671633" w14:textId="77777777" w:rsidR="0050369F" w:rsidRDefault="00C479CD">
      <w:r>
        <w:t>(d) Renegotiation Assistance. — The Federal Trade Commission shall publish, within 180 days of enactment, model contract provisions that plan sponsors may use to bring existing PBM contracts into compliance, and shall provide technical assistance to plan sponsors upon request.</w:t>
      </w:r>
    </w:p>
    <w:p w14:paraId="12CB8E5A" w14:textId="77777777" w:rsidR="0050369F" w:rsidRDefault="0050369F"/>
    <w:p w14:paraId="2620D4C9" w14:textId="77777777" w:rsidR="0050369F" w:rsidRDefault="00C479CD">
      <w:pPr>
        <w:pStyle w:val="Heading1"/>
      </w:pPr>
      <w:r>
        <w:t>SEC. 504. EFFECTIVE DATE.</w:t>
      </w:r>
    </w:p>
    <w:p w14:paraId="548FDE70" w14:textId="77777777" w:rsidR="0050369F" w:rsidRDefault="00C479CD">
      <w:r>
        <w:t>Except as otherwise provided in this title, this Act shall take effect upon the issuance of final rules under section 501(c). Provisions of this Act for which final rules are not required (including the audit rights of section 305 and the ERISA amendments of Title IV) shall take effect 15 months after the date of enactment of this Act, or upon issuance of final rules, whichever is earlier.</w:t>
      </w:r>
    </w:p>
    <w:p w14:paraId="2E554A1A" w14:textId="77777777" w:rsidR="0050369F" w:rsidRDefault="0050369F"/>
    <w:p w14:paraId="19089200" w14:textId="77777777" w:rsidR="0050369F" w:rsidRDefault="0050369F">
      <w:pPr>
        <w:pBdr>
          <w:bottom w:val="single" w:sz="6" w:space="1" w:color="1F3864"/>
        </w:pBdr>
      </w:pPr>
    </w:p>
    <w:p w14:paraId="78D5D992" w14:textId="77777777" w:rsidR="0050369F" w:rsidRDefault="0050369F"/>
    <w:p w14:paraId="3F08B27F" w14:textId="77777777" w:rsidR="0050369F" w:rsidRDefault="00C479CD">
      <w:pPr>
        <w:jc w:val="center"/>
      </w:pPr>
      <w:r>
        <w:rPr>
          <w:rFonts w:ascii="Arial" w:eastAsia="Arial" w:hAnsi="Arial" w:cs="Arial"/>
          <w:b/>
          <w:bCs/>
          <w:color w:val="1F3864"/>
          <w:sz w:val="28"/>
          <w:szCs w:val="28"/>
        </w:rPr>
        <w:lastRenderedPageBreak/>
        <w:t>TITLE VI — AUTHORIZATION OF APPROPRIATIONS</w:t>
      </w:r>
    </w:p>
    <w:p w14:paraId="4BB480BC" w14:textId="77777777" w:rsidR="0050369F" w:rsidRDefault="0050369F"/>
    <w:p w14:paraId="66BB9AE4" w14:textId="77777777" w:rsidR="0050369F" w:rsidRDefault="00C479CD">
      <w:pPr>
        <w:pStyle w:val="Heading1"/>
      </w:pPr>
      <w:r>
        <w:t>SEC. 601. AUTHORIZATION OF APPROPRIATIONS.</w:t>
      </w:r>
    </w:p>
    <w:p w14:paraId="4631FA90" w14:textId="77777777" w:rsidR="0050369F" w:rsidRDefault="00C479CD">
      <w:r>
        <w:t>(a) General Authorization. — There are authorized to be appropriated such sums as may be necessary to carry out this Act.</w:t>
      </w:r>
    </w:p>
    <w:p w14:paraId="06664912" w14:textId="77777777" w:rsidR="0050369F" w:rsidRDefault="0050369F"/>
    <w:p w14:paraId="1D0DFA74" w14:textId="77777777" w:rsidR="0050369F" w:rsidRDefault="00C479CD">
      <w:r>
        <w:t>(b) Specific Authorizations. — In addition to the general authorization in subsection (a), the following specific amounts are authorized to be appropriated for each of the first 3 fiscal years following the date of enactment of this Act:</w:t>
      </w:r>
    </w:p>
    <w:p w14:paraId="3C4DEF7C" w14:textId="77777777" w:rsidR="0050369F" w:rsidRDefault="0050369F"/>
    <w:p w14:paraId="14E93C7E" w14:textId="77777777" w:rsidR="0050369F" w:rsidRDefault="00C479CD">
      <w:r>
        <w:t>(1) Department of Health and Human Services. — $75,000,000 per fiscal year for—</w:t>
      </w:r>
    </w:p>
    <w:p w14:paraId="52C27C73" w14:textId="77777777" w:rsidR="0050369F" w:rsidRDefault="00C479CD">
      <w:pPr>
        <w:pStyle w:val="ListParagraph"/>
        <w:numPr>
          <w:ilvl w:val="0"/>
          <w:numId w:val="3"/>
        </w:numPr>
      </w:pPr>
      <w:r>
        <w:t>establishment, staffing, and operation of the Office of Billing Integrity;</w:t>
      </w:r>
    </w:p>
    <w:p w14:paraId="0A2D16FB" w14:textId="77777777" w:rsidR="0050369F" w:rsidRDefault="00C479CD">
      <w:pPr>
        <w:pStyle w:val="ListParagraph"/>
        <w:numPr>
          <w:ilvl w:val="0"/>
          <w:numId w:val="3"/>
        </w:numPr>
      </w:pPr>
      <w:r>
        <w:t>expansion of independent dispute resolution entity capacity, including certification, training, and IT infrastructure;</w:t>
      </w:r>
    </w:p>
    <w:p w14:paraId="7ED74E6E" w14:textId="77777777" w:rsidR="0050369F" w:rsidRDefault="00C479CD">
      <w:pPr>
        <w:pStyle w:val="ListParagraph"/>
        <w:numPr>
          <w:ilvl w:val="0"/>
          <w:numId w:val="3"/>
        </w:numPr>
      </w:pPr>
      <w:r>
        <w:t>enforcement of hospital price transparency requirements, including compliance auditing staff;</w:t>
      </w:r>
    </w:p>
    <w:p w14:paraId="24E8DB75" w14:textId="77777777" w:rsidR="0050369F" w:rsidRDefault="00C479CD">
      <w:pPr>
        <w:pStyle w:val="ListParagraph"/>
        <w:numPr>
          <w:ilvl w:val="0"/>
          <w:numId w:val="3"/>
        </w:numPr>
      </w:pPr>
      <w:r>
        <w:t>technical assistance grants to hospitals with fewer than 100 beds for FHIR-compliant API development; and</w:t>
      </w:r>
    </w:p>
    <w:p w14:paraId="1437D6F9" w14:textId="77777777" w:rsidR="0050369F" w:rsidRDefault="00C479CD">
      <w:pPr>
        <w:pStyle w:val="ListParagraph"/>
        <w:numPr>
          <w:ilvl w:val="0"/>
          <w:numId w:val="3"/>
        </w:numPr>
      </w:pPr>
      <w:r>
        <w:t>annual reporting obligations under section 201(c)(2).</w:t>
      </w:r>
    </w:p>
    <w:p w14:paraId="3D3EBC2A" w14:textId="77777777" w:rsidR="0050369F" w:rsidRDefault="0050369F"/>
    <w:p w14:paraId="2AC56975" w14:textId="77777777" w:rsidR="0050369F" w:rsidRDefault="00C479CD">
      <w:r>
        <w:t>(2) Federal Trade Commission. — $40,000,000 per fiscal year for—</w:t>
      </w:r>
    </w:p>
    <w:p w14:paraId="726B6AF1" w14:textId="77777777" w:rsidR="0050369F" w:rsidRDefault="00C479CD">
      <w:pPr>
        <w:pStyle w:val="ListParagraph"/>
        <w:numPr>
          <w:ilvl w:val="0"/>
          <w:numId w:val="3"/>
        </w:numPr>
      </w:pPr>
      <w:r>
        <w:t>PBM oversight, investigation, and enforcement under Title III;</w:t>
      </w:r>
    </w:p>
    <w:p w14:paraId="1DF29DA8" w14:textId="77777777" w:rsidR="0050369F" w:rsidRDefault="00C479CD">
      <w:pPr>
        <w:pStyle w:val="ListParagraph"/>
        <w:numPr>
          <w:ilvl w:val="0"/>
          <w:numId w:val="3"/>
        </w:numPr>
      </w:pPr>
      <w:r>
        <w:t>promulgation of administrative fee regulations under section 303(c);</w:t>
      </w:r>
    </w:p>
    <w:p w14:paraId="7F97047A" w14:textId="77777777" w:rsidR="0050369F" w:rsidRDefault="00C479CD">
      <w:pPr>
        <w:pStyle w:val="ListParagraph"/>
        <w:numPr>
          <w:ilvl w:val="0"/>
          <w:numId w:val="3"/>
        </w:numPr>
      </w:pPr>
      <w:r>
        <w:t>processing, analysis, and secure storage of confidential manufacturer-specific quarterly reports under section 304(c); and</w:t>
      </w:r>
    </w:p>
    <w:p w14:paraId="5F93C357" w14:textId="77777777" w:rsidR="0050369F" w:rsidRDefault="00C479CD">
      <w:pPr>
        <w:pStyle w:val="ListParagraph"/>
        <w:numPr>
          <w:ilvl w:val="0"/>
          <w:numId w:val="3"/>
        </w:numPr>
      </w:pPr>
      <w:r>
        <w:t>publication of model PBM contract provisions under section 503(d).</w:t>
      </w:r>
    </w:p>
    <w:p w14:paraId="42B9C6BC" w14:textId="77777777" w:rsidR="0050369F" w:rsidRDefault="0050369F"/>
    <w:p w14:paraId="6C09E3E0" w14:textId="77777777" w:rsidR="0050369F" w:rsidRDefault="00C479CD">
      <w:r>
        <w:t>(c) Sunset of Specific Authorizations. — The specific annual authorizations in subsection (b) shall apply for the first 3 fiscal years following enactment. Thereafter, appropriations shall continue under the general authorization in subsection (a), subject to annual congressional appropriations.</w:t>
      </w:r>
    </w:p>
    <w:p w14:paraId="5277F073" w14:textId="77777777" w:rsidR="0050369F" w:rsidRDefault="0050369F"/>
    <w:p w14:paraId="5E505127" w14:textId="77777777" w:rsidR="0050369F" w:rsidRDefault="00C479CD">
      <w:r>
        <w:t>(d) Annual Sufficiency Report. — The Secretary of Health and Human Services and the Federal Trade Commission shall each submit annual reports to the relevant congressional committees stating whether appropriated amounts are sufficient to fulfill the enforcement and operational mandates of this Act, including an accounting of enforcement staffing levels and case backlogs. Such reports shall be submitted not later than March 1 of each year.</w:t>
      </w:r>
    </w:p>
    <w:p w14:paraId="4A463C27" w14:textId="77777777" w:rsidR="0050369F" w:rsidRDefault="0050369F"/>
    <w:p w14:paraId="037E8F18" w14:textId="77777777" w:rsidR="0050369F" w:rsidRDefault="0050369F">
      <w:pPr>
        <w:pBdr>
          <w:bottom w:val="single" w:sz="6" w:space="1" w:color="1F3864"/>
        </w:pBdr>
      </w:pPr>
    </w:p>
    <w:p w14:paraId="294446EA" w14:textId="77777777" w:rsidR="0050369F" w:rsidRDefault="0050369F"/>
    <w:p w14:paraId="3B614584" w14:textId="77777777" w:rsidR="0050369F" w:rsidRDefault="00C479CD">
      <w:pPr>
        <w:jc w:val="center"/>
      </w:pPr>
      <w:r>
        <w:rPr>
          <w:rFonts w:ascii="Arial" w:eastAsia="Arial" w:hAnsi="Arial" w:cs="Arial"/>
          <w:b/>
          <w:bCs/>
          <w:color w:val="1F3864"/>
          <w:sz w:val="28"/>
          <w:szCs w:val="28"/>
        </w:rPr>
        <w:t>TITLE VIII — WHISTLEBLOWER PROTECTIONS</w:t>
      </w:r>
    </w:p>
    <w:p w14:paraId="1DB4AFDF" w14:textId="77777777" w:rsidR="0050369F" w:rsidRDefault="00C479CD">
      <w:pPr>
        <w:pStyle w:val="Heading1"/>
      </w:pPr>
      <w:r>
        <w:t>SEC. 801. WHISTLEBLOWER PROTECTIONS FOR REPORTING OF PBM AND HOSPITAL PRICING VIOLATIONS.</w:t>
      </w:r>
    </w:p>
    <w:p w14:paraId="37CBCC76" w14:textId="77777777" w:rsidR="0050369F" w:rsidRDefault="00C479CD">
      <w:r>
        <w:lastRenderedPageBreak/>
        <w:t>(a) Protected Activity. — No PBM, hospital, health plan, pharmaceutical manufacturer, or any affiliate, contractor, or agent thereof shall discharge, demote, suspend, threaten, harass, or in any other manner discriminate against an employee, contractor, subcontractor, or agent in the terms and conditions of employment or engagement because such individual—</w:t>
      </w:r>
    </w:p>
    <w:p w14:paraId="206FAB87" w14:textId="77777777" w:rsidR="0050369F" w:rsidRDefault="00C479CD">
      <w:pPr>
        <w:numPr>
          <w:ilvl w:val="0"/>
          <w:numId w:val="2"/>
        </w:numPr>
      </w:pPr>
      <w:r>
        <w:t>provided, caused to be provided, or is about to provide information to the Federal Trade Commission, the Department of Health and Human Services, the Department of Labor, the Department of Justice, or any other Federal or State authority regarding a violation of, or conduct that the individual reasonably believes constitutes a violation of, this Act or any regulation promulgated thereunder;</w:t>
      </w:r>
    </w:p>
    <w:p w14:paraId="771419A7" w14:textId="77777777" w:rsidR="0050369F" w:rsidRDefault="00C479CD">
      <w:pPr>
        <w:numPr>
          <w:ilvl w:val="0"/>
          <w:numId w:val="2"/>
        </w:numPr>
      </w:pPr>
      <w:r>
        <w:t>filed, caused to be filed, participated in, or is about to file or participate in a proceeding under this Act; or</w:t>
      </w:r>
    </w:p>
    <w:p w14:paraId="59292409" w14:textId="77777777" w:rsidR="0050369F" w:rsidRDefault="00C479CD">
      <w:pPr>
        <w:numPr>
          <w:ilvl w:val="0"/>
          <w:numId w:val="2"/>
        </w:numPr>
      </w:pPr>
      <w:r>
        <w:t>objected to, or refused to participate in, any activity, policy, practice, assignment, or task that the individual reasonably believed to be a violation of this Act or any regulation promulgated thereunder.</w:t>
      </w:r>
    </w:p>
    <w:p w14:paraId="1A585D97" w14:textId="77777777" w:rsidR="0050369F" w:rsidRDefault="00C479CD">
      <w:r>
        <w:t>(b) Enforcement. — An individual who alleges discharge or discrimination in violation of subsection (a) may seek relief by—</w:t>
      </w:r>
    </w:p>
    <w:p w14:paraId="4B0B280C" w14:textId="77777777" w:rsidR="0050369F" w:rsidRDefault="00C479CD">
      <w:pPr>
        <w:numPr>
          <w:ilvl w:val="0"/>
          <w:numId w:val="2"/>
        </w:numPr>
      </w:pPr>
      <w:r>
        <w:t>filing a complaint with the Secretary of Labor not later than 180 days after the date on which the violation occurs or the date on which the individual became aware of the violation; or</w:t>
      </w:r>
    </w:p>
    <w:p w14:paraId="060C2510" w14:textId="77777777" w:rsidR="0050369F" w:rsidRDefault="00C479CD">
      <w:pPr>
        <w:numPr>
          <w:ilvl w:val="0"/>
          <w:numId w:val="2"/>
        </w:numPr>
      </w:pPr>
      <w:r>
        <w:t>if the Secretary of Labor has not issued a final decision within 180 days of filing, bringing a civil action in the appropriate United States district court.</w:t>
      </w:r>
    </w:p>
    <w:p w14:paraId="1AF67BFB" w14:textId="77777777" w:rsidR="0050369F" w:rsidRDefault="00C479CD">
      <w:r>
        <w:t>(c) Remedies. — An individual prevailing under subsection (b) shall be entitled to—</w:t>
      </w:r>
    </w:p>
    <w:p w14:paraId="7CFF0341" w14:textId="77777777" w:rsidR="0050369F" w:rsidRDefault="00C479CD">
      <w:pPr>
        <w:numPr>
          <w:ilvl w:val="0"/>
          <w:numId w:val="2"/>
        </w:numPr>
      </w:pPr>
      <w:r>
        <w:t>reinstatement to the same position, seniority, and terms and conditions of employment held before the discriminatory action;</w:t>
      </w:r>
    </w:p>
    <w:p w14:paraId="5E2CC1DB" w14:textId="77777777" w:rsidR="0050369F" w:rsidRDefault="00C479CD">
      <w:pPr>
        <w:numPr>
          <w:ilvl w:val="0"/>
          <w:numId w:val="2"/>
        </w:numPr>
      </w:pPr>
      <w:r>
        <w:t>back pay with interest;</w:t>
      </w:r>
    </w:p>
    <w:p w14:paraId="7615E877" w14:textId="77777777" w:rsidR="0050369F" w:rsidRDefault="00C479CD">
      <w:pPr>
        <w:numPr>
          <w:ilvl w:val="0"/>
          <w:numId w:val="2"/>
        </w:numPr>
      </w:pPr>
      <w:r>
        <w:t>compensation for special damages sustained as a result of the discrimination, including litigation costs and reasonable attorneys' fees; and</w:t>
      </w:r>
    </w:p>
    <w:p w14:paraId="41840B60" w14:textId="77777777" w:rsidR="0050369F" w:rsidRDefault="00C479CD">
      <w:pPr>
        <w:numPr>
          <w:ilvl w:val="0"/>
          <w:numId w:val="2"/>
        </w:numPr>
      </w:pPr>
      <w:r>
        <w:t>in cases of willful violation, punitive damages not to exceed two times the amount of back pay awarded.</w:t>
      </w:r>
    </w:p>
    <w:p w14:paraId="01B53C51" w14:textId="77777777" w:rsidR="0050369F" w:rsidRDefault="00C479CD">
      <w:r>
        <w:t>(d) Confidentiality. — The identity of a whistleblower who submits information under subsection (a) shall be maintained in confidence by the receiving Federal agency to the maximum extent permitted by law, and shall not be disclosed without the written consent of the individual, except to the extent necessary for purposes of a law enforcement proceeding.</w:t>
      </w:r>
    </w:p>
    <w:p w14:paraId="20D7AC1F" w14:textId="77777777" w:rsidR="0050369F" w:rsidRDefault="00C479CD">
      <w:r>
        <w:t>(e) Non-Waiver. — The rights and protections of this section may not be waived by any agreement, policy, form, or condition of employment, including any pre-dispute arbitration agreement. Any such waiver shall be void and unenforceable as against public policy.</w:t>
      </w:r>
    </w:p>
    <w:p w14:paraId="0CF2D9B0" w14:textId="77777777" w:rsidR="0050369F" w:rsidRDefault="00C479CD">
      <w:r>
        <w:t>(f) FTC Whistleblower Tip System. — The Federal Trade Commission shall establish a secure, anonymous digital submission system for whistleblower disclosures under this section, and shall publish on its public website the process for submitting information. The FTC shall acknowledge receipt of all submissions within 30 days and shall refer actionable disclosures to the appropriate enforcement authority within 60 days.</w:t>
      </w:r>
    </w:p>
    <w:p w14:paraId="5B95F6CC" w14:textId="77777777" w:rsidR="0050369F" w:rsidRDefault="00C479CD">
      <w:r>
        <w:rPr>
          <w:rFonts w:ascii="Arial" w:eastAsia="Arial" w:hAnsi="Arial" w:cs="Arial"/>
          <w:b/>
          <w:bCs/>
          <w:color w:val="1F3864"/>
          <w:sz w:val="28"/>
          <w:szCs w:val="28"/>
        </w:rPr>
        <w:t>TITLE IX — ENFORCEMENT REINVESTMENT FUND</w:t>
      </w:r>
    </w:p>
    <w:p w14:paraId="2329E35A" w14:textId="77777777" w:rsidR="0050369F" w:rsidRDefault="00C479CD">
      <w:pPr>
        <w:pStyle w:val="Heading1"/>
      </w:pPr>
      <w:r>
        <w:t>SEC. 901. HEALTHCARE TRANSPARENCY ENFORCEMENT REINVESTMENT FUND.</w:t>
      </w:r>
    </w:p>
    <w:p w14:paraId="1903B51C" w14:textId="77777777" w:rsidR="0050369F" w:rsidRDefault="00C479CD">
      <w:r>
        <w:lastRenderedPageBreak/>
        <w:t>(a) Establishment. — There is established in the Treasury of the United States a fund to be known as the "Healthcare Transparency Enforcement Reinvestment Fund" (hereinafter the "Fund").</w:t>
      </w:r>
    </w:p>
    <w:p w14:paraId="3E47BC9A" w14:textId="77777777" w:rsidR="0050369F" w:rsidRDefault="00C479CD">
      <w:r>
        <w:t>(b) Credits to Fund. — The following amounts shall be deposited into the Fund:</w:t>
      </w:r>
    </w:p>
    <w:p w14:paraId="611B3A15" w14:textId="77777777" w:rsidR="0050369F" w:rsidRDefault="00C479CD">
      <w:pPr>
        <w:numPr>
          <w:ilvl w:val="0"/>
          <w:numId w:val="2"/>
        </w:numPr>
      </w:pPr>
      <w:r>
        <w:t>50 percent of all civil monetary penalties collected under section 101(c) of this Act (hospital price transparency violations);</w:t>
      </w:r>
    </w:p>
    <w:p w14:paraId="6C90252C" w14:textId="77777777" w:rsidR="0050369F" w:rsidRDefault="00C479CD">
      <w:pPr>
        <w:numPr>
          <w:ilvl w:val="0"/>
          <w:numId w:val="2"/>
        </w:numPr>
      </w:pPr>
      <w:r>
        <w:t>50 percent of all civil penalties collected under section 304(e) of this Act (PBM reporting violations); and</w:t>
      </w:r>
    </w:p>
    <w:p w14:paraId="70EEF840" w14:textId="77777777" w:rsidR="0050369F" w:rsidRDefault="00C479CD">
      <w:pPr>
        <w:numPr>
          <w:ilvl w:val="0"/>
          <w:numId w:val="2"/>
        </w:numPr>
      </w:pPr>
      <w:r>
        <w:t>such other amounts as are appropriated to the Fund by Congress.</w:t>
      </w:r>
    </w:p>
    <w:p w14:paraId="1AB6A56A" w14:textId="77777777" w:rsidR="0050369F" w:rsidRDefault="00C479CD">
      <w:r>
        <w:t>(c) Permitted Uses. — Amounts in the Fund shall be available to the Secretary of Health and Human Services and the Federal Trade Commission, in proportions determined by the relevant enforcement authority, exclusively for—</w:t>
      </w:r>
    </w:p>
    <w:p w14:paraId="6BF49837" w14:textId="77777777" w:rsidR="0050369F" w:rsidRDefault="00C479CD">
      <w:pPr>
        <w:numPr>
          <w:ilvl w:val="0"/>
          <w:numId w:val="2"/>
        </w:numPr>
      </w:pPr>
      <w:r>
        <w:t>expanding HHS and FTC enforcement staffing capacity under this Act;</w:t>
      </w:r>
    </w:p>
    <w:p w14:paraId="2180657A" w14:textId="77777777" w:rsidR="0050369F" w:rsidRDefault="00C479CD">
      <w:pPr>
        <w:numPr>
          <w:ilvl w:val="0"/>
          <w:numId w:val="2"/>
        </w:numPr>
      </w:pPr>
      <w:r>
        <w:t>developing and maintaining the National Healthcare Price Comparison Portal under section 101(c);</w:t>
      </w:r>
    </w:p>
    <w:p w14:paraId="55C1B796" w14:textId="77777777" w:rsidR="0050369F" w:rsidRDefault="00C479CD">
      <w:pPr>
        <w:numPr>
          <w:ilvl w:val="0"/>
          <w:numId w:val="2"/>
        </w:numPr>
      </w:pPr>
      <w:r>
        <w:t>expanding independent dispute resolution capacity under section 201; and</w:t>
      </w:r>
    </w:p>
    <w:p w14:paraId="03ACCD2A" w14:textId="77777777" w:rsidR="0050369F" w:rsidRDefault="00C479CD">
      <w:pPr>
        <w:numPr>
          <w:ilvl w:val="0"/>
          <w:numId w:val="2"/>
        </w:numPr>
      </w:pPr>
      <w:r>
        <w:t>technical assistance grants for small and rural hospitals under section 101(c)(4).</w:t>
      </w:r>
    </w:p>
    <w:p w14:paraId="1747654E" w14:textId="77777777" w:rsidR="0050369F" w:rsidRDefault="00C479CD">
      <w:r>
        <w:t>(d) Fiscal Responsibility Design. — The Fund is structured as a self-reinforcing enforcement mechanism: robust enforcement generates penalty revenue that funds further enforcement capacity, reducing reliance on annual discretionary appropriations over time. The remaining 50 percent of collected penalties shall be deposited in the general fund of the Treasury.</w:t>
      </w:r>
    </w:p>
    <w:p w14:paraId="290618C9" w14:textId="77777777" w:rsidR="0050369F" w:rsidRDefault="00C479CD">
      <w:r>
        <w:t>(e) Annual Fund Report. — Not later than March 1 of each year, the Secretary and the FTC shall jointly report to Congress on the total amounts deposited into, disbursed from, and remaining in the Fund, with a breakdown by enforcement category and permitted use.</w:t>
      </w:r>
    </w:p>
    <w:p w14:paraId="69F19A61" w14:textId="77777777" w:rsidR="0050369F" w:rsidRDefault="00C479CD">
      <w:r>
        <w:rPr>
          <w:rFonts w:ascii="Arial" w:eastAsia="Arial" w:hAnsi="Arial" w:cs="Arial"/>
          <w:b/>
          <w:bCs/>
          <w:color w:val="1F3864"/>
          <w:sz w:val="28"/>
          <w:szCs w:val="28"/>
        </w:rPr>
        <w:t>TITLE X — CONGRESSIONAL REVIEW AND SUNSET PROVISIONS</w:t>
      </w:r>
    </w:p>
    <w:p w14:paraId="74BC6063" w14:textId="77777777" w:rsidR="0050369F" w:rsidRDefault="00C479CD">
      <w:pPr>
        <w:pStyle w:val="Heading1"/>
      </w:pPr>
      <w:r>
        <w:t>SEC. 1001. FIVE-YEAR CONGRESSIONAL REVIEW OF FTC ADMINISTRATIVE FEE RULEMAKING AUTHORITY.</w:t>
      </w:r>
    </w:p>
    <w:p w14:paraId="79CABE68" w14:textId="77777777" w:rsidR="0050369F" w:rsidRDefault="00C479CD">
      <w:r>
        <w:t>(a) Review Trigger. — Not later than 5 years after the effective date of the final administrative fee regulations promulgated by the Federal Trade Commission under section 303(c), the FTC shall submit to the Committee on Energy and Commerce of the House of Representatives and the Committee on Commerce, Science, and Transportation of the Senate a comprehensive review report evaluating—</w:t>
      </w:r>
    </w:p>
    <w:p w14:paraId="71F79324" w14:textId="77777777" w:rsidR="0050369F" w:rsidRDefault="00C479CD">
      <w:pPr>
        <w:numPr>
          <w:ilvl w:val="0"/>
          <w:numId w:val="2"/>
        </w:numPr>
      </w:pPr>
      <w:r>
        <w:t>whether the administrative fee standards established under section 303(c) have achieved their intended purpose of preventing spread pricing evasion while permitting legitimate PBM service compensation;</w:t>
      </w:r>
    </w:p>
    <w:p w14:paraId="41D4B38E" w14:textId="77777777" w:rsidR="0050369F" w:rsidRDefault="00C479CD">
      <w:pPr>
        <w:numPr>
          <w:ilvl w:val="0"/>
          <w:numId w:val="2"/>
        </w:numPr>
      </w:pPr>
      <w:r>
        <w:t>the documented impact of the administrative fee regulations on PBM business models, plan sponsor costs, and beneficiary out-of-pocket expenses;</w:t>
      </w:r>
    </w:p>
    <w:p w14:paraId="17F92295" w14:textId="77777777" w:rsidR="0050369F" w:rsidRDefault="00C479CD">
      <w:pPr>
        <w:numPr>
          <w:ilvl w:val="0"/>
          <w:numId w:val="2"/>
        </w:numPr>
      </w:pPr>
      <w:r>
        <w:t>any significant unintended consequences observed in pharmaceutical markets or PBM service availability; and</w:t>
      </w:r>
    </w:p>
    <w:p w14:paraId="4BB0795B" w14:textId="77777777" w:rsidR="0050369F" w:rsidRDefault="00C479CD">
      <w:pPr>
        <w:numPr>
          <w:ilvl w:val="0"/>
          <w:numId w:val="2"/>
        </w:numPr>
      </w:pPr>
      <w:r>
        <w:t>the FTC's recommendations for whether the rulemaking authority should be continued, modified, or permitted to expire.</w:t>
      </w:r>
    </w:p>
    <w:p w14:paraId="4C2C7FFC" w14:textId="77777777" w:rsidR="0050369F" w:rsidRDefault="00C479CD">
      <w:r>
        <w:t xml:space="preserve">(b) Congressional Action Window. — Following submission of the review report under subsection (a), Congress shall have 2 years within which to modify, reauthorize, or allow to expire the FTC's administrative fee rulemaking authority under section 303(c) by enacting </w:t>
      </w:r>
      <w:r>
        <w:lastRenderedPageBreak/>
        <w:t>legislation. If Congress takes no action within the 2-year window, the FTC's authority under section 303(c) shall continue in effect without modification.</w:t>
      </w:r>
    </w:p>
    <w:p w14:paraId="6236BDE9" w14:textId="77777777" w:rsidR="0050369F" w:rsidRDefault="00C479CD">
      <w:r>
        <w:t>(c) Continuity of Existing Regulations. — The submission of the review report and the running of the 2-year congressional action window shall not affect the validity or enforceability of any administrative fee regulations in effect at the time of review. Existing regulations shall remain in full force and effect unless and until Congress enacts modifying legislation or the FTC modifies them through notice-and-comment rulemaking.</w:t>
      </w:r>
    </w:p>
    <w:p w14:paraId="69208BE7" w14:textId="77777777" w:rsidR="0050369F" w:rsidRDefault="00C479CD">
      <w:r>
        <w:t>(d) Scope Limitation. — This section applies solely to the FTC's administrative fee rulemaking authority under section 303(c). All other FTC enforcement authorities under this Act are permanent and not subject to sunset or congressional review under this section.</w:t>
      </w:r>
    </w:p>
    <w:p w14:paraId="20A40B37" w14:textId="77777777" w:rsidR="0050369F" w:rsidRDefault="00C479CD">
      <w:r>
        <w:rPr>
          <w:rFonts w:ascii="Arial" w:eastAsia="Arial" w:hAnsi="Arial" w:cs="Arial"/>
          <w:b/>
          <w:bCs/>
          <w:color w:val="1F3864"/>
          <w:sz w:val="28"/>
          <w:szCs w:val="28"/>
        </w:rPr>
        <w:t>TITLE XI — SAVINGS AND CONSTRUCTION</w:t>
      </w:r>
    </w:p>
    <w:p w14:paraId="504EFED7" w14:textId="77777777" w:rsidR="0050369F" w:rsidRDefault="0050369F"/>
    <w:p w14:paraId="01937159" w14:textId="77777777" w:rsidR="0050369F" w:rsidRDefault="00C479CD">
      <w:pPr>
        <w:pStyle w:val="Heading1"/>
      </w:pPr>
      <w:r>
        <w:t>SEC. 1101. SAVINGS CLAUSE.</w:t>
      </w:r>
    </w:p>
    <w:p w14:paraId="107024BF" w14:textId="77777777" w:rsidR="0050369F" w:rsidRDefault="00C479CD">
      <w:r>
        <w:t>Nothing in this Act shall be construed to—</w:t>
      </w:r>
    </w:p>
    <w:p w14:paraId="393E7CD1" w14:textId="77777777" w:rsidR="0050369F" w:rsidRDefault="00C479CD">
      <w:pPr>
        <w:pStyle w:val="ListParagraph"/>
        <w:numPr>
          <w:ilvl w:val="0"/>
          <w:numId w:val="2"/>
        </w:numPr>
      </w:pPr>
      <w:r>
        <w:t>eliminate or restrict private insurance markets;</w:t>
      </w:r>
    </w:p>
    <w:p w14:paraId="2D474391" w14:textId="77777777" w:rsidR="0050369F" w:rsidRDefault="00C479CD">
      <w:pPr>
        <w:pStyle w:val="ListParagraph"/>
        <w:numPr>
          <w:ilvl w:val="0"/>
          <w:numId w:val="2"/>
        </w:numPr>
      </w:pPr>
      <w:r>
        <w:t>impose price controls on pharmaceutical manufacturers beyond the administrative fee reasonableness standards applicable to PBMs;</w:t>
      </w:r>
    </w:p>
    <w:p w14:paraId="21F7E78C" w14:textId="77777777" w:rsidR="0050369F" w:rsidRDefault="00C479CD">
      <w:pPr>
        <w:pStyle w:val="ListParagraph"/>
        <w:numPr>
          <w:ilvl w:val="0"/>
          <w:numId w:val="2"/>
        </w:numPr>
      </w:pPr>
      <w:r>
        <w:t>require a pharmaceutical manufacturer to sell products in any Federal program, it being the intent of Congress that manufacturers retain the right to opt out of Federal program participation, consistent with 5th Amendment takings jurisprudence;</w:t>
      </w:r>
    </w:p>
    <w:p w14:paraId="3E7A9F7B" w14:textId="77777777" w:rsidR="0050369F" w:rsidRDefault="00C479CD">
      <w:pPr>
        <w:pStyle w:val="ListParagraph"/>
        <w:numPr>
          <w:ilvl w:val="0"/>
          <w:numId w:val="2"/>
        </w:numPr>
      </w:pPr>
      <w:r>
        <w:t>preempt State laws providing protections to healthcare consumers that are equal to or greater than the protections provided under this Act, except to the extent that such State laws conflict with the ERISA requirements of Title IV; or</w:t>
      </w:r>
    </w:p>
    <w:p w14:paraId="0144FF50" w14:textId="77777777" w:rsidR="0050369F" w:rsidRDefault="00C479CD">
      <w:pPr>
        <w:pStyle w:val="ListParagraph"/>
        <w:numPr>
          <w:ilvl w:val="0"/>
          <w:numId w:val="2"/>
        </w:numPr>
      </w:pPr>
      <w:r>
        <w:t>limit the authority of the Federal Trade Commission under the Federal Trade Commission Act or any other applicable Federal law; or</w:t>
      </w:r>
    </w:p>
    <w:p w14:paraId="4F035A6E" w14:textId="77777777" w:rsidR="0050369F" w:rsidRDefault="00C479CD">
      <w:pPr>
        <w:numPr>
          <w:ilvl w:val="0"/>
          <w:numId w:val="1"/>
        </w:numPr>
      </w:pPr>
      <w:r>
        <w:t>prohibit value-based contracting arrangements between pharmaceutical manufacturers and health plans or PBMs, provided that any payments, price concessions, or remuneration flowing to a PBM under such arrangements comply with the pass-through requirements of section 302 and the transparency requirements of section 304 of this Act. Outcome-based payment structures that are fully disclosed and fully passed through to plan sponsors or beneficiaries are expressly authorized and encouraged.</w:t>
      </w:r>
    </w:p>
    <w:p w14:paraId="4EB11AE8" w14:textId="77777777" w:rsidR="0050369F" w:rsidRDefault="0050369F"/>
    <w:p w14:paraId="7B621FA1" w14:textId="77777777" w:rsidR="0050369F" w:rsidRDefault="00C479CD">
      <w:pPr>
        <w:pStyle w:val="Heading1"/>
      </w:pPr>
      <w:r>
        <w:t>SEC. 1102. SEVERABILITY.</w:t>
      </w:r>
    </w:p>
    <w:p w14:paraId="7E644C29" w14:textId="77777777" w:rsidR="0050369F" w:rsidRDefault="00C479CD">
      <w:r>
        <w:t>If any provision of this Act, or the application of any provision to any person or circumstance, is held to be unconstitutional or otherwise invalid, the remainder of the Act and the application of the Act's provisions to other persons or circumstances shall not be affected.</w:t>
      </w:r>
    </w:p>
    <w:p w14:paraId="68CAB7A7" w14:textId="77777777" w:rsidR="0050369F" w:rsidRDefault="0050369F"/>
    <w:p w14:paraId="43F47E20" w14:textId="77777777" w:rsidR="0050369F" w:rsidRDefault="00C479CD">
      <w:pPr>
        <w:pStyle w:val="Heading1"/>
      </w:pPr>
      <w:r>
        <w:t>SEC. 1103. LEGISLATIVE INTENT STATEMENT.</w:t>
      </w:r>
    </w:p>
    <w:p w14:paraId="15976027" w14:textId="77777777" w:rsidR="0050369F" w:rsidRDefault="00C479CD">
      <w:r>
        <w:t xml:space="preserve">The purpose of this Act is structural transparency, supply-chain accountability, and enforceable consumer protection in healthcare markets. Congress intends that this Act be construed broadly to effectuate those purposes, and that implementing agencies use their full statutory authority to </w:t>
      </w:r>
      <w:r>
        <w:lastRenderedPageBreak/>
        <w:t>close evasion pathways and ensure that the benefits of this Act reach American consumers and plan sponsors.</w:t>
      </w:r>
    </w:p>
    <w:p w14:paraId="6B50796E" w14:textId="77777777" w:rsidR="0050369F" w:rsidRDefault="0050369F"/>
    <w:p w14:paraId="094F52D2" w14:textId="77777777" w:rsidR="0050369F" w:rsidRDefault="0050369F">
      <w:pPr>
        <w:pBdr>
          <w:bottom w:val="single" w:sz="6" w:space="1" w:color="1F3864"/>
        </w:pBdr>
      </w:pPr>
    </w:p>
    <w:p w14:paraId="4328FE75" w14:textId="77777777" w:rsidR="0050369F" w:rsidRDefault="0050369F"/>
    <w:sectPr w:rsidR="0050369F">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952EE" w14:textId="77777777" w:rsidR="008B448A" w:rsidRDefault="008B448A">
      <w:r>
        <w:separator/>
      </w:r>
    </w:p>
  </w:endnote>
  <w:endnote w:type="continuationSeparator" w:id="0">
    <w:p w14:paraId="1E011044" w14:textId="77777777" w:rsidR="008B448A" w:rsidRDefault="008B4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27AE" w14:textId="037B1B1D" w:rsidR="0050369F" w:rsidRDefault="00C479CD">
    <w:pPr>
      <w:jc w:val="center"/>
    </w:pPr>
    <w:r>
      <w:rPr>
        <w:rFonts w:ascii="Arial" w:eastAsia="Arial" w:hAnsi="Arial" w:cs="Arial"/>
        <w:color w:val="666666"/>
        <w:sz w:val="18"/>
        <w:szCs w:val="18"/>
      </w:rPr>
      <w:t xml:space="preserve">Healthcare Price Transparency and </w:t>
    </w:r>
    <w:r w:rsidR="00BD3BFD">
      <w:rPr>
        <w:rFonts w:ascii="Arial" w:eastAsia="Arial" w:hAnsi="Arial" w:cs="Arial"/>
        <w:color w:val="666666"/>
        <w:sz w:val="18"/>
        <w:szCs w:val="18"/>
      </w:rPr>
      <w:tab/>
    </w:r>
    <w:r>
      <w:rPr>
        <w:rFonts w:ascii="Arial" w:eastAsia="Arial" w:hAnsi="Arial" w:cs="Arial"/>
        <w:color w:val="666666"/>
        <w:sz w:val="18"/>
        <w:szCs w:val="18"/>
      </w:rPr>
      <w:t xml:space="preserve"> Accountability Act of 202</w:t>
    </w:r>
    <w:r w:rsidR="007C358F">
      <w:rPr>
        <w:rFonts w:ascii="Arial" w:eastAsia="Arial" w:hAnsi="Arial" w:cs="Arial"/>
        <w:color w:val="666666"/>
        <w:sz w:val="18"/>
        <w:szCs w:val="18"/>
      </w:rPr>
      <w:t>9</w:t>
    </w:r>
    <w:r>
      <w:rPr>
        <w:rFonts w:ascii="Arial" w:eastAsia="Arial" w:hAnsi="Arial" w:cs="Arial"/>
        <w:color w:val="666666"/>
        <w:sz w:val="18"/>
        <w:szCs w:val="18"/>
      </w:rPr>
      <w:t xml:space="preserve">  |  Page </w:t>
    </w:r>
    <w:r>
      <w:rPr>
        <w:rFonts w:ascii="Arial" w:eastAsia="Arial" w:hAnsi="Arial" w:cs="Arial"/>
        <w:color w:val="666666"/>
        <w:sz w:val="18"/>
        <w:szCs w:val="18"/>
      </w:rPr>
      <w:fldChar w:fldCharType="begin"/>
    </w:r>
    <w:r>
      <w:rPr>
        <w:rFonts w:ascii="Arial" w:eastAsia="Arial" w:hAnsi="Arial" w:cs="Arial"/>
        <w:color w:val="666666"/>
        <w:sz w:val="18"/>
        <w:szCs w:val="18"/>
      </w:rPr>
      <w:instrText>PAGE</w:instrText>
    </w:r>
    <w:r>
      <w:rPr>
        <w:rFonts w:ascii="Arial" w:eastAsia="Arial" w:hAnsi="Arial" w:cs="Arial"/>
        <w:color w:val="666666"/>
        <w:sz w:val="18"/>
        <w:szCs w:val="18"/>
      </w:rPr>
      <w:fldChar w:fldCharType="separate"/>
    </w:r>
    <w:r w:rsidR="00B44856">
      <w:rPr>
        <w:rFonts w:ascii="Arial" w:eastAsia="Arial" w:hAnsi="Arial" w:cs="Arial"/>
        <w:noProof/>
        <w:color w:val="666666"/>
        <w:sz w:val="18"/>
        <w:szCs w:val="18"/>
      </w:rPr>
      <w:t>1</w:t>
    </w:r>
    <w:r>
      <w:rPr>
        <w:rFonts w:ascii="Arial" w:eastAsia="Arial" w:hAnsi="Arial" w:cs="Arial"/>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80045" w14:textId="77777777" w:rsidR="008B448A" w:rsidRDefault="008B448A">
      <w:r>
        <w:separator/>
      </w:r>
    </w:p>
  </w:footnote>
  <w:footnote w:type="continuationSeparator" w:id="0">
    <w:p w14:paraId="36B61894" w14:textId="77777777" w:rsidR="008B448A" w:rsidRDefault="008B4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34C2D"/>
    <w:multiLevelType w:val="hybridMultilevel"/>
    <w:tmpl w:val="1A489200"/>
    <w:lvl w:ilvl="0" w:tplc="7D6AB2AC">
      <w:start w:val="1"/>
      <w:numFmt w:val="bullet"/>
      <w:lvlText w:val="●"/>
      <w:lvlJc w:val="left"/>
      <w:pPr>
        <w:ind w:left="720" w:hanging="360"/>
      </w:pPr>
    </w:lvl>
    <w:lvl w:ilvl="1" w:tplc="FEA47010">
      <w:start w:val="1"/>
      <w:numFmt w:val="bullet"/>
      <w:lvlText w:val="○"/>
      <w:lvlJc w:val="left"/>
      <w:pPr>
        <w:ind w:left="1440" w:hanging="360"/>
      </w:pPr>
    </w:lvl>
    <w:lvl w:ilvl="2" w:tplc="858E354C">
      <w:start w:val="1"/>
      <w:numFmt w:val="bullet"/>
      <w:lvlText w:val="■"/>
      <w:lvlJc w:val="left"/>
      <w:pPr>
        <w:ind w:left="2160" w:hanging="360"/>
      </w:pPr>
    </w:lvl>
    <w:lvl w:ilvl="3" w:tplc="FA3EDD2A">
      <w:start w:val="1"/>
      <w:numFmt w:val="bullet"/>
      <w:lvlText w:val="●"/>
      <w:lvlJc w:val="left"/>
      <w:pPr>
        <w:ind w:left="2880" w:hanging="360"/>
      </w:pPr>
    </w:lvl>
    <w:lvl w:ilvl="4" w:tplc="47585F32">
      <w:start w:val="1"/>
      <w:numFmt w:val="bullet"/>
      <w:lvlText w:val="○"/>
      <w:lvlJc w:val="left"/>
      <w:pPr>
        <w:ind w:left="3600" w:hanging="360"/>
      </w:pPr>
    </w:lvl>
    <w:lvl w:ilvl="5" w:tplc="8BD60E80">
      <w:start w:val="1"/>
      <w:numFmt w:val="bullet"/>
      <w:lvlText w:val="■"/>
      <w:lvlJc w:val="left"/>
      <w:pPr>
        <w:ind w:left="4320" w:hanging="360"/>
      </w:pPr>
    </w:lvl>
    <w:lvl w:ilvl="6" w:tplc="8BFCA9F4">
      <w:start w:val="1"/>
      <w:numFmt w:val="bullet"/>
      <w:lvlText w:val="●"/>
      <w:lvlJc w:val="left"/>
      <w:pPr>
        <w:ind w:left="5040" w:hanging="360"/>
      </w:pPr>
    </w:lvl>
    <w:lvl w:ilvl="7" w:tplc="7B7498CE">
      <w:start w:val="1"/>
      <w:numFmt w:val="bullet"/>
      <w:lvlText w:val="●"/>
      <w:lvlJc w:val="left"/>
      <w:pPr>
        <w:ind w:left="5760" w:hanging="360"/>
      </w:pPr>
    </w:lvl>
    <w:lvl w:ilvl="8" w:tplc="9F3C4CDA">
      <w:start w:val="1"/>
      <w:numFmt w:val="bullet"/>
      <w:lvlText w:val="●"/>
      <w:lvlJc w:val="left"/>
      <w:pPr>
        <w:ind w:left="6480" w:hanging="360"/>
      </w:pPr>
    </w:lvl>
  </w:abstractNum>
  <w:abstractNum w:abstractNumId="1" w15:restartNumberingAfterBreak="0">
    <w:nsid w:val="4EF8490A"/>
    <w:multiLevelType w:val="hybridMultilevel"/>
    <w:tmpl w:val="8D72DBC4"/>
    <w:lvl w:ilvl="0" w:tplc="A5043798">
      <w:start w:val="1"/>
      <w:numFmt w:val="bullet"/>
      <w:lvlText w:val="•"/>
      <w:lvlJc w:val="left"/>
      <w:pPr>
        <w:ind w:left="720" w:hanging="360"/>
      </w:pPr>
    </w:lvl>
    <w:lvl w:ilvl="1" w:tplc="2188A37A">
      <w:numFmt w:val="decimal"/>
      <w:lvlText w:val=""/>
      <w:lvlJc w:val="left"/>
    </w:lvl>
    <w:lvl w:ilvl="2" w:tplc="F0EE84F2">
      <w:numFmt w:val="decimal"/>
      <w:lvlText w:val=""/>
      <w:lvlJc w:val="left"/>
    </w:lvl>
    <w:lvl w:ilvl="3" w:tplc="B7EC4C14">
      <w:numFmt w:val="decimal"/>
      <w:lvlText w:val=""/>
      <w:lvlJc w:val="left"/>
    </w:lvl>
    <w:lvl w:ilvl="4" w:tplc="103C16CC">
      <w:numFmt w:val="decimal"/>
      <w:lvlText w:val=""/>
      <w:lvlJc w:val="left"/>
    </w:lvl>
    <w:lvl w:ilvl="5" w:tplc="E150723A">
      <w:numFmt w:val="decimal"/>
      <w:lvlText w:val=""/>
      <w:lvlJc w:val="left"/>
    </w:lvl>
    <w:lvl w:ilvl="6" w:tplc="ADF04240">
      <w:numFmt w:val="decimal"/>
      <w:lvlText w:val=""/>
      <w:lvlJc w:val="left"/>
    </w:lvl>
    <w:lvl w:ilvl="7" w:tplc="DE061F64">
      <w:numFmt w:val="decimal"/>
      <w:lvlText w:val=""/>
      <w:lvlJc w:val="left"/>
    </w:lvl>
    <w:lvl w:ilvl="8" w:tplc="BCC2056E">
      <w:numFmt w:val="decimal"/>
      <w:lvlText w:val=""/>
      <w:lvlJc w:val="left"/>
    </w:lvl>
  </w:abstractNum>
  <w:abstractNum w:abstractNumId="2" w15:restartNumberingAfterBreak="0">
    <w:nsid w:val="6B480084"/>
    <w:multiLevelType w:val="hybridMultilevel"/>
    <w:tmpl w:val="D4A41220"/>
    <w:lvl w:ilvl="0" w:tplc="DB08825E">
      <w:start w:val="1"/>
      <w:numFmt w:val="bullet"/>
      <w:lvlText w:val="–"/>
      <w:lvlJc w:val="left"/>
      <w:pPr>
        <w:ind w:left="1440" w:hanging="360"/>
      </w:pPr>
    </w:lvl>
    <w:lvl w:ilvl="1" w:tplc="E9BC7A52">
      <w:numFmt w:val="decimal"/>
      <w:lvlText w:val=""/>
      <w:lvlJc w:val="left"/>
    </w:lvl>
    <w:lvl w:ilvl="2" w:tplc="2E32A566">
      <w:numFmt w:val="decimal"/>
      <w:lvlText w:val=""/>
      <w:lvlJc w:val="left"/>
    </w:lvl>
    <w:lvl w:ilvl="3" w:tplc="C8367802">
      <w:numFmt w:val="decimal"/>
      <w:lvlText w:val=""/>
      <w:lvlJc w:val="left"/>
    </w:lvl>
    <w:lvl w:ilvl="4" w:tplc="79DA1D5C">
      <w:numFmt w:val="decimal"/>
      <w:lvlText w:val=""/>
      <w:lvlJc w:val="left"/>
    </w:lvl>
    <w:lvl w:ilvl="5" w:tplc="C0C4BA80">
      <w:numFmt w:val="decimal"/>
      <w:lvlText w:val=""/>
      <w:lvlJc w:val="left"/>
    </w:lvl>
    <w:lvl w:ilvl="6" w:tplc="74E05180">
      <w:numFmt w:val="decimal"/>
      <w:lvlText w:val=""/>
      <w:lvlJc w:val="left"/>
    </w:lvl>
    <w:lvl w:ilvl="7" w:tplc="FC3626EE">
      <w:numFmt w:val="decimal"/>
      <w:lvlText w:val=""/>
      <w:lvlJc w:val="left"/>
    </w:lvl>
    <w:lvl w:ilvl="8" w:tplc="D88E6B2C">
      <w:numFmt w:val="decimal"/>
      <w:lvlText w:val=""/>
      <w:lvlJc w:val="left"/>
    </w:lvl>
  </w:abstractNum>
  <w:abstractNum w:abstractNumId="3" w15:restartNumberingAfterBreak="0">
    <w:nsid w:val="743B52D5"/>
    <w:multiLevelType w:val="hybridMultilevel"/>
    <w:tmpl w:val="094C2A76"/>
    <w:lvl w:ilvl="0" w:tplc="3E3E508E">
      <w:start w:val="1"/>
      <w:numFmt w:val="decimal"/>
      <w:lvlText w:val="(%1)"/>
      <w:lvlJc w:val="left"/>
      <w:pPr>
        <w:ind w:left="720" w:hanging="360"/>
      </w:pPr>
    </w:lvl>
    <w:lvl w:ilvl="1" w:tplc="B0F2E4D4">
      <w:numFmt w:val="decimal"/>
      <w:lvlText w:val=""/>
      <w:lvlJc w:val="left"/>
    </w:lvl>
    <w:lvl w:ilvl="2" w:tplc="3D101AB2">
      <w:numFmt w:val="decimal"/>
      <w:lvlText w:val=""/>
      <w:lvlJc w:val="left"/>
    </w:lvl>
    <w:lvl w:ilvl="3" w:tplc="7B3AC1D2">
      <w:numFmt w:val="decimal"/>
      <w:lvlText w:val=""/>
      <w:lvlJc w:val="left"/>
    </w:lvl>
    <w:lvl w:ilvl="4" w:tplc="392A83A8">
      <w:numFmt w:val="decimal"/>
      <w:lvlText w:val=""/>
      <w:lvlJc w:val="left"/>
    </w:lvl>
    <w:lvl w:ilvl="5" w:tplc="23780A16">
      <w:numFmt w:val="decimal"/>
      <w:lvlText w:val=""/>
      <w:lvlJc w:val="left"/>
    </w:lvl>
    <w:lvl w:ilvl="6" w:tplc="7076BAA0">
      <w:numFmt w:val="decimal"/>
      <w:lvlText w:val=""/>
      <w:lvlJc w:val="left"/>
    </w:lvl>
    <w:lvl w:ilvl="7" w:tplc="24ECC250">
      <w:numFmt w:val="decimal"/>
      <w:lvlText w:val=""/>
      <w:lvlJc w:val="left"/>
    </w:lvl>
    <w:lvl w:ilvl="8" w:tplc="180E4556">
      <w:numFmt w:val="decimal"/>
      <w:lvlText w:val=""/>
      <w:lvlJc w:val="left"/>
    </w:lvl>
  </w:abstractNum>
  <w:num w:numId="1" w16cid:durableId="1581256353">
    <w:abstractNumId w:val="0"/>
    <w:lvlOverride w:ilvl="0">
      <w:startOverride w:val="1"/>
    </w:lvlOverride>
  </w:num>
  <w:num w:numId="2" w16cid:durableId="1210413465">
    <w:abstractNumId w:val="1"/>
    <w:lvlOverride w:ilvl="0">
      <w:startOverride w:val="1"/>
    </w:lvlOverride>
  </w:num>
  <w:num w:numId="3" w16cid:durableId="140368144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69F"/>
    <w:rsid w:val="000B3270"/>
    <w:rsid w:val="001E4C02"/>
    <w:rsid w:val="0050369F"/>
    <w:rsid w:val="007C358F"/>
    <w:rsid w:val="008B448A"/>
    <w:rsid w:val="00B44856"/>
    <w:rsid w:val="00BD3BFD"/>
    <w:rsid w:val="00C479CD"/>
    <w:rsid w:val="00FD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613B0"/>
  <w15:docId w15:val="{F00AD419-E297-40FE-80D5-5069034B9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rFonts w:ascii="Arial" w:eastAsia="Arial" w:hAnsi="Arial" w:cs="Arial"/>
      <w:b/>
      <w:bCs/>
      <w:color w:val="1F3864"/>
      <w:sz w:val="28"/>
      <w:szCs w:val="28"/>
    </w:rPr>
  </w:style>
  <w:style w:type="paragraph" w:styleId="Heading2">
    <w:name w:val="heading 2"/>
    <w:uiPriority w:val="9"/>
    <w:unhideWhenUsed/>
    <w:qFormat/>
    <w:pPr>
      <w:spacing w:before="240" w:after="120"/>
      <w:outlineLvl w:val="1"/>
    </w:pPr>
    <w:rPr>
      <w:rFonts w:ascii="Arial" w:eastAsia="Arial" w:hAnsi="Arial" w:cs="Arial"/>
      <w:b/>
      <w:bCs/>
      <w:color w:val="2E5496"/>
      <w:sz w:val="26"/>
      <w:szCs w:val="26"/>
    </w:rPr>
  </w:style>
  <w:style w:type="paragraph" w:styleId="Heading3">
    <w:name w:val="heading 3"/>
    <w:uiPriority w:val="9"/>
    <w:semiHidden/>
    <w:unhideWhenUsed/>
    <w:qFormat/>
    <w:pPr>
      <w:spacing w:before="180" w:after="80"/>
      <w:outlineLvl w:val="2"/>
    </w:pPr>
    <w:rPr>
      <w:rFonts w:ascii="Arial" w:eastAsia="Arial" w:hAnsi="Arial" w:cs="Arial"/>
      <w:b/>
      <w:bCs/>
      <w:color w:val="00000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C358F"/>
    <w:pPr>
      <w:tabs>
        <w:tab w:val="center" w:pos="4680"/>
        <w:tab w:val="right" w:pos="9360"/>
      </w:tabs>
    </w:pPr>
  </w:style>
  <w:style w:type="character" w:customStyle="1" w:styleId="HeaderChar">
    <w:name w:val="Header Char"/>
    <w:basedOn w:val="DefaultParagraphFont"/>
    <w:link w:val="Header"/>
    <w:uiPriority w:val="99"/>
    <w:rsid w:val="007C358F"/>
  </w:style>
  <w:style w:type="paragraph" w:styleId="Footer">
    <w:name w:val="footer"/>
    <w:basedOn w:val="Normal"/>
    <w:link w:val="FooterChar"/>
    <w:uiPriority w:val="99"/>
    <w:unhideWhenUsed/>
    <w:rsid w:val="007C358F"/>
    <w:pPr>
      <w:tabs>
        <w:tab w:val="center" w:pos="4680"/>
        <w:tab w:val="right" w:pos="9360"/>
      </w:tabs>
    </w:pPr>
  </w:style>
  <w:style w:type="character" w:customStyle="1" w:styleId="FooterChar">
    <w:name w:val="Footer Char"/>
    <w:basedOn w:val="DefaultParagraphFont"/>
    <w:link w:val="Footer"/>
    <w:uiPriority w:val="99"/>
    <w:rsid w:val="007C3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6063</Words>
  <Characters>35535</Characters>
  <Application>Microsoft Office Word</Application>
  <DocSecurity>0</DocSecurity>
  <Lines>683</Lines>
  <Paragraphs>282</Paragraphs>
  <ScaleCrop>false</ScaleCrop>
  <Company/>
  <LinksUpToDate>false</LinksUpToDate>
  <CharactersWithSpaces>41316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Oxford Christian Forbes Nordberg</cp:lastModifiedBy>
  <cp:revision>4</cp:revision>
  <dcterms:created xsi:type="dcterms:W3CDTF">2026-03-21T15:40:00Z</dcterms:created>
  <dcterms:modified xsi:type="dcterms:W3CDTF">2026-03-21T15:41:00Z</dcterms:modified>
</cp:coreProperties>
</file>