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E0C6" w14:textId="77777777" w:rsidR="002E7D0E" w:rsidRDefault="002E7D0E">
      <w:pPr>
        <w:spacing w:before="40" w:after="40"/>
      </w:pPr>
    </w:p>
    <w:p w14:paraId="5C56E0C7" w14:textId="77777777" w:rsidR="002E7D0E" w:rsidRDefault="002E7D0E">
      <w:pPr>
        <w:spacing w:before="40" w:after="40"/>
      </w:pPr>
    </w:p>
    <w:p w14:paraId="5C56E0C8" w14:textId="77777777" w:rsidR="002E7D0E" w:rsidRDefault="00000000">
      <w:pPr>
        <w:spacing w:before="120" w:after="120"/>
        <w:jc w:val="center"/>
      </w:pPr>
      <w:r>
        <w:rPr>
          <w:b/>
          <w:bCs/>
          <w:sz w:val="32"/>
          <w:szCs w:val="32"/>
        </w:rPr>
        <w:t>ESSENTIAL INSURANCE FAIRNESS &amp;</w:t>
      </w:r>
    </w:p>
    <w:p w14:paraId="5C56E0C9" w14:textId="77777777" w:rsidR="002E7D0E" w:rsidRDefault="00000000">
      <w:pPr>
        <w:spacing w:before="120" w:after="120"/>
        <w:jc w:val="center"/>
      </w:pPr>
      <w:r>
        <w:rPr>
          <w:b/>
          <w:bCs/>
          <w:sz w:val="32"/>
          <w:szCs w:val="32"/>
        </w:rPr>
        <w:t>CONSUMER PROTECTION ACT</w:t>
      </w:r>
    </w:p>
    <w:p w14:paraId="5C56E0CA" w14:textId="77777777" w:rsidR="002E7D0E" w:rsidRDefault="002E7D0E">
      <w:pPr>
        <w:spacing w:before="40" w:after="40"/>
      </w:pPr>
    </w:p>
    <w:p w14:paraId="5C56E0CE" w14:textId="77777777" w:rsidR="002E7D0E" w:rsidRDefault="002E7D0E">
      <w:pPr>
        <w:spacing w:before="40" w:after="40"/>
      </w:pPr>
    </w:p>
    <w:p w14:paraId="5C56E0CF" w14:textId="77777777" w:rsidR="002E7D0E" w:rsidRDefault="00000000">
      <w:pPr>
        <w:pStyle w:val="Heading1"/>
      </w:pPr>
      <w:r>
        <w:t>Section 1.  Short Title</w:t>
      </w:r>
    </w:p>
    <w:p w14:paraId="5C56E0D0" w14:textId="77777777" w:rsidR="002E7D0E" w:rsidRDefault="00000000">
      <w:pPr>
        <w:spacing w:before="80" w:after="80"/>
        <w:jc w:val="both"/>
      </w:pPr>
      <w:r>
        <w:t>This Act may be cited as the "Essential Insurance Fairness &amp; Consumer Protection Act."</w:t>
      </w:r>
    </w:p>
    <w:p w14:paraId="5C56E0D1" w14:textId="77777777" w:rsidR="002E7D0E" w:rsidRDefault="002E7D0E">
      <w:pPr>
        <w:spacing w:before="40" w:after="40"/>
      </w:pPr>
    </w:p>
    <w:p w14:paraId="5C56E0D2" w14:textId="77777777" w:rsidR="002E7D0E" w:rsidRDefault="00000000">
      <w:pPr>
        <w:pStyle w:val="Heading1"/>
      </w:pPr>
      <w:r>
        <w:t>Section 2.  Findings and Purpose</w:t>
      </w:r>
    </w:p>
    <w:p w14:paraId="5C56E0D3" w14:textId="77777777" w:rsidR="002E7D0E" w:rsidRDefault="00000000">
      <w:pPr>
        <w:pStyle w:val="Heading2"/>
      </w:pPr>
      <w:r>
        <w:t>(a)  Constitutional Basis</w:t>
      </w:r>
    </w:p>
    <w:p w14:paraId="5C56E0D4" w14:textId="77777777" w:rsidR="002E7D0E" w:rsidRDefault="00000000">
      <w:pPr>
        <w:spacing w:before="80" w:after="80"/>
        <w:jc w:val="both"/>
      </w:pPr>
      <w:r>
        <w:t>Congress enacts this Act pursuant to:</w:t>
      </w:r>
    </w:p>
    <w:p w14:paraId="5C56E0D5" w14:textId="77777777" w:rsidR="002E7D0E" w:rsidRDefault="00000000">
      <w:pPr>
        <w:spacing w:before="80" w:after="80"/>
        <w:ind w:left="720"/>
        <w:jc w:val="both"/>
      </w:pPr>
      <w:r>
        <w:t>(1)  The Spending Clause, U.S. Const. art. I, § 8, cl. 1, as applied to conditions on insurer participation in federally guaranteed, federally insured, or federally subsidized programs under which federal funds or federal backing materially influence consumer participation and create a federal program-integrity interest;</w:t>
      </w:r>
    </w:p>
    <w:p w14:paraId="5C56E0D6" w14:textId="77777777" w:rsidR="002E7D0E" w:rsidRDefault="00000000">
      <w:pPr>
        <w:spacing w:before="80" w:after="80"/>
        <w:ind w:left="720"/>
        <w:jc w:val="both"/>
      </w:pPr>
      <w:r>
        <w:t>(2)  The Commerce Clause, U.S. Const. art. I, § 8, cl. 3, as applied to insurance transactions that are required as conditions of obtaining or maintaining federally backed financial instruments and that occur across state lines or in markets substantially affected by interstate commerce; and</w:t>
      </w:r>
    </w:p>
    <w:p w14:paraId="5C56E0D7" w14:textId="77777777" w:rsidR="002E7D0E" w:rsidRDefault="00000000">
      <w:pPr>
        <w:spacing w:before="80" w:after="80"/>
        <w:ind w:left="720"/>
        <w:jc w:val="both"/>
      </w:pPr>
      <w:r>
        <w:t>(3)  The Necessary and Proper Clause, U.S. Const. art. I, § 8, cl. 18, to the extent any provision of this Act is reasonably adapted to carrying into execution the foregoing enumerated powers.</w:t>
      </w:r>
    </w:p>
    <w:p w14:paraId="5C56E0D8" w14:textId="77777777" w:rsidR="002E7D0E" w:rsidRDefault="00000000">
      <w:pPr>
        <w:spacing w:before="80" w:after="80"/>
        <w:ind w:left="720"/>
        <w:jc w:val="both"/>
      </w:pPr>
      <w:r>
        <w:rPr>
          <w:b/>
          <w:bCs/>
          <w:i/>
          <w:iCs/>
          <w:color w:val="7B2D00"/>
          <w:sz w:val="20"/>
          <w:szCs w:val="20"/>
        </w:rPr>
        <w:t xml:space="preserve">[DRAFTING NOTE: </w:t>
      </w:r>
      <w:r>
        <w:rPr>
          <w:i/>
          <w:iCs/>
          <w:color w:val="7B2D00"/>
          <w:sz w:val="20"/>
          <w:szCs w:val="20"/>
        </w:rPr>
        <w:t>Enumerating the specific constitutional authority for each section, rather than invoking both clauses globally, provides a more defensible foundation post-West Virginia v. EPA (2022). Cross-reference each operative provision in later sections to its applicable constitutional basis where appropriate.]</w:t>
      </w:r>
    </w:p>
    <w:p w14:paraId="5C56E0D9" w14:textId="77777777" w:rsidR="002E7D0E" w:rsidRDefault="002E7D0E">
      <w:pPr>
        <w:spacing w:before="40" w:after="40"/>
      </w:pPr>
    </w:p>
    <w:p w14:paraId="5C56E0DA" w14:textId="77777777" w:rsidR="002E7D0E" w:rsidRDefault="00000000">
      <w:pPr>
        <w:pStyle w:val="Heading2"/>
      </w:pPr>
      <w:r>
        <w:t>(b)  Findings</w:t>
      </w:r>
    </w:p>
    <w:p w14:paraId="5C56E0DB" w14:textId="77777777" w:rsidR="002E7D0E" w:rsidRDefault="00000000">
      <w:pPr>
        <w:spacing w:before="80" w:after="80"/>
        <w:jc w:val="both"/>
      </w:pPr>
      <w:r>
        <w:t>Congress finds that:</w:t>
      </w:r>
    </w:p>
    <w:p w14:paraId="5C56E0DC" w14:textId="77777777" w:rsidR="002E7D0E" w:rsidRDefault="00000000">
      <w:pPr>
        <w:spacing w:before="80" w:after="80"/>
        <w:ind w:left="720"/>
        <w:jc w:val="both"/>
      </w:pPr>
      <w:r>
        <w:t>(1)  Certain insurance products are required as a condition of participation in federally guaranteed, federally insured, or federally subsidized programs, thereby creating a substantial federal interest in the integrity and transparency of those products.</w:t>
      </w:r>
    </w:p>
    <w:p w14:paraId="5C56E0DD" w14:textId="77777777" w:rsidR="002E7D0E" w:rsidRDefault="00000000">
      <w:pPr>
        <w:spacing w:before="80" w:after="80"/>
        <w:ind w:left="720"/>
        <w:jc w:val="both"/>
      </w:pPr>
      <w:r>
        <w:t>(2)  When federal backing or subsidies materially influence consumer participation in insurance markets, Congress has authority under the Spending Clause to impose reasonable program-integrity conditions on insurer participation in those programs.</w:t>
      </w:r>
    </w:p>
    <w:p w14:paraId="5C56E0DE" w14:textId="77777777" w:rsidR="002E7D0E" w:rsidRDefault="00000000">
      <w:pPr>
        <w:spacing w:before="80" w:after="80"/>
        <w:ind w:left="720"/>
        <w:jc w:val="both"/>
      </w:pPr>
      <w:r>
        <w:t>(3)  Primary authority over insurance rate-setting resides with the States under the McCarran-Ferguson Act, 15 U.S.C. §§ 1011-1015, and this Act is not intended to displace that authority.</w:t>
      </w:r>
    </w:p>
    <w:p w14:paraId="5C56E0DF" w14:textId="77777777" w:rsidR="002E7D0E" w:rsidRDefault="00000000">
      <w:pPr>
        <w:spacing w:before="80" w:after="80"/>
        <w:ind w:left="720"/>
        <w:jc w:val="both"/>
      </w:pPr>
      <w:r>
        <w:lastRenderedPageBreak/>
        <w:t>(4)  Transparency, actuarial certification, and anti-fraud standards protect consumers, preserve the integrity of federal subsidy programs, and safeguard federal taxpayers.</w:t>
      </w:r>
    </w:p>
    <w:p w14:paraId="5C56E0E0" w14:textId="77777777" w:rsidR="002E7D0E" w:rsidRDefault="00000000">
      <w:pPr>
        <w:spacing w:before="80" w:after="80"/>
        <w:ind w:left="720"/>
        <w:jc w:val="both"/>
      </w:pPr>
      <w:r>
        <w:t>(5)  Cross-regional cost allocation methodologies and forward-looking catastrophe modeling assumptions represent areas of material information asymmetry between insurers and policyholders, and between insurers and state regulators in certain jurisdictions, that undermine informed market participation.</w:t>
      </w:r>
    </w:p>
    <w:p w14:paraId="5C56E0E1" w14:textId="77777777" w:rsidR="002E7D0E" w:rsidRDefault="00000000">
      <w:pPr>
        <w:spacing w:before="80" w:after="80"/>
        <w:ind w:left="720"/>
        <w:jc w:val="both"/>
      </w:pPr>
      <w:r>
        <w:t>(6)  Existing federal law, including the Federal Insurance Office Act of 2010 and the Affordable Care Act's Medical Loss Ratio provisions, addresses components of insurance market oversight but does not establish program-integrity conditions for actuarial transparency and anti-fraud standards across federally backed insurance programs generally.</w:t>
      </w:r>
    </w:p>
    <w:p w14:paraId="5C56E0E2" w14:textId="77777777" w:rsidR="002E7D0E" w:rsidRDefault="00000000">
      <w:pPr>
        <w:spacing w:before="80" w:after="80"/>
        <w:ind w:left="720"/>
        <w:jc w:val="both"/>
      </w:pPr>
      <w:r>
        <w:t>(7)  Conditions imposed under this Act are directly related to federal program-integrity interests, are not coercive, and are reasonably proportionate to the federal benefits conferred.</w:t>
      </w:r>
    </w:p>
    <w:p w14:paraId="5C56E0E3" w14:textId="77777777" w:rsidR="002E7D0E" w:rsidRDefault="002E7D0E">
      <w:pPr>
        <w:spacing w:before="40" w:after="40"/>
      </w:pPr>
    </w:p>
    <w:p w14:paraId="5C56E0E4" w14:textId="77777777" w:rsidR="002E7D0E" w:rsidRDefault="00000000">
      <w:pPr>
        <w:pStyle w:val="Heading2"/>
      </w:pPr>
      <w:r>
        <w:t>(c)  Purpose</w:t>
      </w:r>
    </w:p>
    <w:p w14:paraId="5C56E0E5" w14:textId="77777777" w:rsidR="002E7D0E" w:rsidRDefault="00000000">
      <w:pPr>
        <w:spacing w:before="80" w:after="80"/>
        <w:jc w:val="both"/>
      </w:pPr>
      <w:r>
        <w:t>The purposes of this Act are to:</w:t>
      </w:r>
    </w:p>
    <w:p w14:paraId="5C56E0E6" w14:textId="77777777" w:rsidR="002E7D0E" w:rsidRDefault="00000000">
      <w:pPr>
        <w:spacing w:before="80" w:after="80"/>
        <w:ind w:left="720"/>
        <w:jc w:val="both"/>
      </w:pPr>
      <w:r>
        <w:t>(1)  Condition participation in federally backed insurance-related programs on transparency, actuarial accountability, and anti-fraud standards;</w:t>
      </w:r>
    </w:p>
    <w:p w14:paraId="5C56E0E7" w14:textId="77777777" w:rsidR="002E7D0E" w:rsidRDefault="00000000">
      <w:pPr>
        <w:spacing w:before="80" w:after="80"/>
        <w:ind w:left="720"/>
        <w:jc w:val="both"/>
      </w:pPr>
      <w:r>
        <w:t>(2)  Protect federal taxpayers by ensuring federally connected insurance products are supported by documented risk and verified actuarial data;</w:t>
      </w:r>
    </w:p>
    <w:p w14:paraId="5C56E0E8" w14:textId="77777777" w:rsidR="002E7D0E" w:rsidRDefault="00000000">
      <w:pPr>
        <w:spacing w:before="80" w:after="80"/>
        <w:ind w:left="720"/>
        <w:jc w:val="both"/>
      </w:pPr>
      <w:r>
        <w:t>(3)  Preserve state regulatory primacy over insurance rate-setting while strengthening federal program-integrity oversight of federally connected insurance markets;</w:t>
      </w:r>
    </w:p>
    <w:p w14:paraId="5C56E0E9" w14:textId="77777777" w:rsidR="002E7D0E" w:rsidRDefault="00000000">
      <w:pPr>
        <w:spacing w:before="80" w:after="80"/>
        <w:ind w:left="720"/>
        <w:jc w:val="both"/>
      </w:pPr>
      <w:r>
        <w:t>(4)  Provide fair process, clear standards, and coordinated enforcement at the federal and state levels;</w:t>
      </w:r>
    </w:p>
    <w:p w14:paraId="5C56E0EA" w14:textId="77777777" w:rsidR="002E7D0E" w:rsidRDefault="00000000">
      <w:pPr>
        <w:spacing w:before="80" w:after="80"/>
        <w:ind w:left="720"/>
        <w:jc w:val="both"/>
      </w:pPr>
      <w:r>
        <w:t>(5)  Deliver meaningful transparency to policyholders facing premium increases in federally connected insurance products; and</w:t>
      </w:r>
    </w:p>
    <w:p w14:paraId="5C56E0EB" w14:textId="77777777" w:rsidR="002E7D0E" w:rsidRDefault="00000000">
      <w:pPr>
        <w:spacing w:before="80" w:after="80"/>
        <w:ind w:left="720"/>
        <w:jc w:val="both"/>
      </w:pPr>
      <w:r>
        <w:t>(6)  Establish minimum actuarial methodology standards — without prescribing rate outcomes — for insurance products whose pricing directly affects federal program costs and consumer access.</w:t>
      </w:r>
    </w:p>
    <w:p w14:paraId="5C56E0EC" w14:textId="77777777" w:rsidR="002E7D0E" w:rsidRDefault="002E7D0E">
      <w:pPr>
        <w:spacing w:before="40" w:after="40"/>
      </w:pPr>
    </w:p>
    <w:p w14:paraId="5C56E0ED" w14:textId="77777777" w:rsidR="002E7D0E" w:rsidRDefault="00000000">
      <w:pPr>
        <w:pStyle w:val="Heading1"/>
      </w:pPr>
      <w:r>
        <w:t>Section 3.  Scope and Applicability</w:t>
      </w:r>
    </w:p>
    <w:p w14:paraId="5C56E0EE" w14:textId="77777777" w:rsidR="002E7D0E" w:rsidRDefault="00000000">
      <w:pPr>
        <w:pStyle w:val="Heading2"/>
      </w:pPr>
      <w:r>
        <w:t>(a)  Limited Applicability</w:t>
      </w:r>
    </w:p>
    <w:p w14:paraId="5C56E0EF" w14:textId="77777777" w:rsidR="002E7D0E" w:rsidRDefault="00000000">
      <w:pPr>
        <w:spacing w:before="80" w:after="80"/>
        <w:jc w:val="both"/>
      </w:pPr>
      <w:r>
        <w:t>This Act applies only to insurers offering insurance products that are:</w:t>
      </w:r>
    </w:p>
    <w:p w14:paraId="5C56E0F0" w14:textId="77777777" w:rsidR="002E7D0E" w:rsidRDefault="00000000">
      <w:pPr>
        <w:spacing w:before="80" w:after="80"/>
        <w:ind w:left="720"/>
        <w:jc w:val="both"/>
      </w:pPr>
      <w:r>
        <w:t>(1)  Required as a condition of obtaining or maintaining a federally guaranteed or federally insured residential mortgage, including mortgage insurance, homeowners insurance, and private flood insurance required by the Federal National Mortgage Association (Fannie Mae), the Federal Home Loan Mortgage Corporation (Freddie Mac), the Federal Housing Administration (FHA), or the Department of Veterans Affairs (VA) under applicable Seller/Servicer Guide requirements; or</w:t>
      </w:r>
    </w:p>
    <w:p w14:paraId="5C56E0F1" w14:textId="77777777" w:rsidR="002E7D0E" w:rsidRDefault="00000000">
      <w:pPr>
        <w:spacing w:before="80" w:after="80"/>
        <w:ind w:left="720"/>
        <w:jc w:val="both"/>
      </w:pPr>
      <w:r>
        <w:lastRenderedPageBreak/>
        <w:t>(2)  Offered through or subsidized by a federally established health insurance exchange pursuant to Title I of the Patient Protection and Affordable Care Act, 42 U.S.C. § 18001 et seq.</w:t>
      </w:r>
    </w:p>
    <w:p w14:paraId="5C56E0F2" w14:textId="77777777" w:rsidR="002E7D0E" w:rsidRDefault="00000000">
      <w:pPr>
        <w:spacing w:before="80" w:after="80"/>
        <w:ind w:left="720"/>
        <w:jc w:val="both"/>
      </w:pPr>
      <w:r>
        <w:rPr>
          <w:b/>
          <w:bCs/>
          <w:i/>
          <w:iCs/>
          <w:color w:val="7B2D00"/>
          <w:sz w:val="20"/>
          <w:szCs w:val="20"/>
        </w:rPr>
        <w:t xml:space="preserve">[DRAFTING NOTE: </w:t>
      </w:r>
      <w:r>
        <w:rPr>
          <w:i/>
          <w:iCs/>
          <w:color w:val="7B2D00"/>
          <w:sz w:val="20"/>
          <w:szCs w:val="20"/>
        </w:rPr>
        <w:t>Section 3(a)(iii) — the original catch-all regulatory expansion clause — has been removed. Under West Virginia v. EPA (2022) and the major questions doctrine, an open-ended delegation to the executive branch to expand the scope of a federal insurance oversight mandate by regulation, without an intelligible principle or statutory list, presents an unacceptable nondelegation challenge. Congress should expand coverage of this Act only by statute. A mechanism for future statutory expansion is provided in Section 3(c).]</w:t>
      </w:r>
    </w:p>
    <w:p w14:paraId="5C56E0F3" w14:textId="77777777" w:rsidR="002E7D0E" w:rsidRDefault="002E7D0E">
      <w:pPr>
        <w:spacing w:before="40" w:after="40"/>
      </w:pPr>
    </w:p>
    <w:p w14:paraId="5C56E0F4" w14:textId="77777777" w:rsidR="002E7D0E" w:rsidRDefault="00000000">
      <w:pPr>
        <w:pStyle w:val="Heading2"/>
      </w:pPr>
      <w:r>
        <w:t>(b)  Condition of Federal Participation</w:t>
      </w:r>
    </w:p>
    <w:p w14:paraId="5C56E0F5" w14:textId="77777777" w:rsidR="002E7D0E" w:rsidRDefault="00000000">
      <w:pPr>
        <w:spacing w:before="80" w:after="80"/>
        <w:jc w:val="both"/>
      </w:pPr>
      <w:r>
        <w:t>Compliance with this Act shall be a condition of continued participation in the applicable federally backed or federally subsidized program identified in Section 3(a).</w:t>
      </w:r>
    </w:p>
    <w:p w14:paraId="5C56E0F6" w14:textId="77777777" w:rsidR="002E7D0E" w:rsidRDefault="00000000">
      <w:pPr>
        <w:spacing w:before="80" w:after="80"/>
        <w:jc w:val="both"/>
      </w:pPr>
      <w:r>
        <w:t>Non-compliance, following written notice, opportunity to cure, and administrative review as specified in Section 7(d), shall subject a Covered Insurer to the graduated sanctions set forth in Section 7(e). Disqualification from participation in the applicable federal program — including disqualification from originating or servicing federally guaranteed mortgages or offering plans on federal exchanges — is the sanction of last resort and shall be imposed only after exhaustion of lesser sanctions as provided in Section 7(e), except in cases of fraud as defined in Section 4.</w:t>
      </w:r>
    </w:p>
    <w:p w14:paraId="5C56E0F7" w14:textId="77777777" w:rsidR="002E7D0E" w:rsidRDefault="002E7D0E">
      <w:pPr>
        <w:spacing w:before="40" w:after="40"/>
      </w:pPr>
    </w:p>
    <w:p w14:paraId="5C56E0F8" w14:textId="77777777" w:rsidR="002E7D0E" w:rsidRDefault="00000000">
      <w:pPr>
        <w:pStyle w:val="Heading2"/>
      </w:pPr>
      <w:r>
        <w:t>(c)  Future Expansion by Statute</w:t>
      </w:r>
    </w:p>
    <w:p w14:paraId="5C56E0F9" w14:textId="77777777" w:rsidR="002E7D0E" w:rsidRDefault="00000000">
      <w:pPr>
        <w:spacing w:before="80" w:after="80"/>
        <w:jc w:val="both"/>
      </w:pPr>
      <w:r>
        <w:t>Congress may, by subsequent Act of Congress, expand the categories of federally backed programs subject to this Act. No executive agency shall expand the scope of Section 3(a) by regulation, guidance, or administrative determination.</w:t>
      </w:r>
    </w:p>
    <w:p w14:paraId="5C56E0FA" w14:textId="77777777" w:rsidR="002E7D0E" w:rsidRDefault="002E7D0E">
      <w:pPr>
        <w:spacing w:before="40" w:after="40"/>
      </w:pPr>
    </w:p>
    <w:p w14:paraId="5C56E0FB" w14:textId="77777777" w:rsidR="002E7D0E" w:rsidRDefault="00000000">
      <w:pPr>
        <w:pStyle w:val="Heading2"/>
      </w:pPr>
      <w:r>
        <w:t>(d)  Preservation of State Authority</w:t>
      </w:r>
    </w:p>
    <w:p w14:paraId="5C56E0FC" w14:textId="77777777" w:rsidR="002E7D0E" w:rsidRDefault="00000000">
      <w:pPr>
        <w:spacing w:before="80" w:after="80"/>
        <w:jc w:val="both"/>
      </w:pPr>
      <w:r>
        <w:t>Except as expressly provided herein:</w:t>
      </w:r>
    </w:p>
    <w:p w14:paraId="5C56E0FD" w14:textId="77777777" w:rsidR="002E7D0E" w:rsidRDefault="00000000">
      <w:pPr>
        <w:spacing w:before="80" w:after="80"/>
        <w:ind w:left="720"/>
        <w:jc w:val="both"/>
      </w:pPr>
      <w:r>
        <w:t>(1)  Nothing in this Act shall preempt or displace state authority over insurance rate-setting under the McCarran-Ferguson Act, 15 U.S.C. § 1011 et seq.</w:t>
      </w:r>
    </w:p>
    <w:p w14:paraId="5C56E0FE" w14:textId="77777777" w:rsidR="002E7D0E" w:rsidRDefault="00000000">
      <w:pPr>
        <w:spacing w:before="80" w:after="80"/>
        <w:ind w:left="720"/>
        <w:jc w:val="both"/>
      </w:pPr>
      <w:r>
        <w:t>(2)  Nothing in this Act shall be construed to authorize the Federal Trade Commission or any other federal agency to set, approve, disapprove, modify, or otherwise directly determine insurance rates, premiums, or rate structures for any Covered Insurer.</w:t>
      </w:r>
    </w:p>
    <w:p w14:paraId="5C56E0FF" w14:textId="77777777" w:rsidR="002E7D0E" w:rsidRDefault="00000000">
      <w:pPr>
        <w:spacing w:before="80" w:after="80"/>
        <w:ind w:left="720"/>
        <w:jc w:val="both"/>
      </w:pPr>
      <w:r>
        <w:t>(3)  Nothing in this Act shall be construed to create a private right of action for any person or entity under any provision of this Act or any regulation promulgated thereunder. Enforcement shall be exclusively by the Federal Trade Commission and the Department of Justice as specified in Section 7.</w:t>
      </w:r>
    </w:p>
    <w:p w14:paraId="5C56E100" w14:textId="77777777" w:rsidR="002E7D0E" w:rsidRDefault="002E7D0E">
      <w:pPr>
        <w:spacing w:before="40" w:after="40"/>
      </w:pPr>
    </w:p>
    <w:p w14:paraId="5C56E101" w14:textId="77777777" w:rsidR="002E7D0E" w:rsidRDefault="00000000">
      <w:pPr>
        <w:pStyle w:val="Heading2"/>
      </w:pPr>
      <w:r>
        <w:t>(e)  Relationship to McCarran-Ferguson Act</w:t>
      </w:r>
    </w:p>
    <w:p w14:paraId="5C56E102" w14:textId="77777777" w:rsidR="002E7D0E" w:rsidRDefault="00000000">
      <w:pPr>
        <w:spacing w:before="80" w:after="80"/>
        <w:jc w:val="both"/>
      </w:pPr>
      <w:r>
        <w:t xml:space="preserve">The provisions of this Act, including the enforcement authority granted to the Federal Trade Commission in Section 7(b), are specifically enacted in relation to the business of insurance within the meaning of 15 U.S.C. § 1012(b), and shall not be construed to invalidate, impair, or supersede any state law or regulation governing insurance rates, rate-setting methodology, or actuarial determinations. The FTC's authority under this Act shall not extend to any action that operates to </w:t>
      </w:r>
      <w:r>
        <w:lastRenderedPageBreak/>
        <w:t>invalidate, impair, or supersede state insurance law within the meaning of 15 U.S.C. § 1012, and shall apply solely to program-integrity conditions established under the federal nexus provisions of Section 3(a).</w:t>
      </w:r>
    </w:p>
    <w:p w14:paraId="5C56E103" w14:textId="77777777" w:rsidR="002E7D0E" w:rsidRDefault="002E7D0E">
      <w:pPr>
        <w:spacing w:before="40" w:after="40"/>
      </w:pPr>
    </w:p>
    <w:p w14:paraId="5C56E104" w14:textId="77777777" w:rsidR="002E7D0E" w:rsidRDefault="00000000">
      <w:pPr>
        <w:pStyle w:val="Heading2"/>
      </w:pPr>
      <w:r>
        <w:t>(f)  Relationship to ACA Medical Loss Ratio Requirements</w:t>
      </w:r>
    </w:p>
    <w:p w14:paraId="5C56E105" w14:textId="77777777" w:rsidR="002E7D0E" w:rsidRDefault="00000000">
      <w:pPr>
        <w:spacing w:before="80" w:after="80"/>
        <w:jc w:val="both"/>
      </w:pPr>
      <w:r>
        <w:t>With respect to health insurance issuers offering qualified health plans on federally established exchanges:</w:t>
      </w:r>
    </w:p>
    <w:p w14:paraId="5C56E106" w14:textId="77777777" w:rsidR="002E7D0E" w:rsidRDefault="00000000">
      <w:pPr>
        <w:spacing w:before="80" w:after="80"/>
        <w:ind w:left="720"/>
        <w:jc w:val="both"/>
      </w:pPr>
      <w:r>
        <w:t>(1)  For purposes of Section 6(b) of this Act, a health insurance issuer that demonstrates compliance with the Medical Loss Ratio requirements of 42 U.S.C. § 18152 and applicable regulations promulgated thereunder shall be deemed in per se compliance with the excess return rebate obligation of Section 6(b) for the relevant plan year.</w:t>
      </w:r>
    </w:p>
    <w:p w14:paraId="5C56E107" w14:textId="77777777" w:rsidR="002E7D0E" w:rsidRDefault="00000000">
      <w:pPr>
        <w:spacing w:before="80" w:after="80"/>
        <w:ind w:left="720"/>
        <w:jc w:val="both"/>
      </w:pPr>
      <w:r>
        <w:t>(2)  The consumer disclosure requirements of Section 5(b) and the actuarial certification requirements of Section 5(a) shall apply to health exchange plans as supplemental program-integrity conditions, provided that disclosure obligations under this Act shall be coordinated with, and shall not duplicate, existing ACA disclosure obligations under 45 C.F.R. Part 156.</w:t>
      </w:r>
    </w:p>
    <w:p w14:paraId="5C56E108" w14:textId="77777777" w:rsidR="002E7D0E" w:rsidRDefault="00000000">
      <w:pPr>
        <w:spacing w:before="80" w:after="80"/>
        <w:ind w:left="720"/>
        <w:jc w:val="both"/>
      </w:pPr>
      <w:r>
        <w:rPr>
          <w:b/>
          <w:bCs/>
          <w:i/>
          <w:iCs/>
          <w:color w:val="7B2D00"/>
          <w:sz w:val="20"/>
          <w:szCs w:val="20"/>
        </w:rPr>
        <w:t xml:space="preserve">[DRAFTING NOTE: </w:t>
      </w:r>
      <w:r>
        <w:rPr>
          <w:i/>
          <w:iCs/>
          <w:color w:val="7B2D00"/>
          <w:sz w:val="20"/>
          <w:szCs w:val="20"/>
        </w:rPr>
        <w:t>This provision eliminates the duplication conflict between this bill's Excess Return mechanism and the ACA's MLR regime for exchange plans. Health exchange insurers will not face conflicting legal obligations under two separate rebate methodologies.]</w:t>
      </w:r>
    </w:p>
    <w:p w14:paraId="5C56E109" w14:textId="77777777" w:rsidR="002E7D0E" w:rsidRDefault="002E7D0E">
      <w:pPr>
        <w:spacing w:before="40" w:after="40"/>
      </w:pPr>
    </w:p>
    <w:p w14:paraId="5C56E10A" w14:textId="77777777" w:rsidR="002E7D0E" w:rsidRDefault="00000000">
      <w:pPr>
        <w:pStyle w:val="Heading2"/>
      </w:pPr>
      <w:r>
        <w:t>(g)  Anti-Evasion</w:t>
      </w:r>
    </w:p>
    <w:p w14:paraId="5C56E10B" w14:textId="77777777" w:rsidR="002E7D0E" w:rsidRDefault="00000000">
      <w:pPr>
        <w:spacing w:before="80" w:after="80"/>
        <w:jc w:val="both"/>
      </w:pPr>
      <w:r>
        <w:t>Any Covered Insurer that, after the effective date of this Act, restructures, recharacterizes, or modifies an insurance product primarily for the purpose of avoiding coverage under this Act shall be deemed a Covered Insurer with respect to that product. In any enforcement proceeding in which evasive restructuring is alleged, the burden of demonstrating a legitimate business purpose for the restructuring, independent of this Act's requirements, shall rest with the insurer.</w:t>
      </w:r>
    </w:p>
    <w:p w14:paraId="5C56E10C" w14:textId="77777777" w:rsidR="002E7D0E" w:rsidRDefault="002E7D0E">
      <w:pPr>
        <w:spacing w:before="40" w:after="40"/>
      </w:pPr>
    </w:p>
    <w:p w14:paraId="5C56E10D" w14:textId="77777777" w:rsidR="002E7D0E" w:rsidRDefault="00000000">
      <w:pPr>
        <w:pStyle w:val="Heading1"/>
      </w:pPr>
      <w:r>
        <w:t>Section 4.  Definitions</w:t>
      </w:r>
    </w:p>
    <w:p w14:paraId="5C56E10E" w14:textId="77777777" w:rsidR="002E7D0E" w:rsidRDefault="00000000">
      <w:pPr>
        <w:spacing w:before="80" w:after="80"/>
        <w:jc w:val="both"/>
      </w:pPr>
      <w:r>
        <w:t>For purposes of this Act:</w:t>
      </w:r>
    </w:p>
    <w:p w14:paraId="5C56E10F" w14:textId="77777777" w:rsidR="002E7D0E" w:rsidRDefault="002E7D0E">
      <w:pPr>
        <w:spacing w:before="40" w:after="40"/>
      </w:pPr>
    </w:p>
    <w:p w14:paraId="5C56E110" w14:textId="77777777" w:rsidR="002E7D0E" w:rsidRDefault="00000000">
      <w:pPr>
        <w:spacing w:before="200" w:after="80"/>
      </w:pPr>
      <w:r>
        <w:rPr>
          <w:b/>
          <w:bCs/>
          <w:u w:val="single"/>
        </w:rPr>
        <w:t>"Actuarially Justified"</w:t>
      </w:r>
    </w:p>
    <w:p w14:paraId="5C56E111" w14:textId="77777777" w:rsidR="002E7D0E" w:rsidRDefault="00000000">
      <w:pPr>
        <w:spacing w:before="80" w:after="80"/>
        <w:jc w:val="both"/>
      </w:pPr>
      <w:r>
        <w:t>"Actuarially Justified" means a premium rate, rate increase, or rating factor that is:</w:t>
      </w:r>
    </w:p>
    <w:p w14:paraId="5C56E112" w14:textId="77777777" w:rsidR="002E7D0E" w:rsidRDefault="00000000">
      <w:pPr>
        <w:spacing w:before="80" w:after="80"/>
        <w:ind w:left="720"/>
        <w:jc w:val="both"/>
      </w:pPr>
      <w:r>
        <w:t>(1)  Supported by credible loss experience data, catastrophe modeling consistent with actuarial standards of practice, reinsurance costs, geographic risk factors, administrative costs, and other verifiable actuarial data, all documented in the rate filing;</w:t>
      </w:r>
    </w:p>
    <w:p w14:paraId="5C56E113" w14:textId="77777777" w:rsidR="002E7D0E" w:rsidRDefault="00000000">
      <w:pPr>
        <w:spacing w:before="80" w:after="80"/>
        <w:ind w:left="720"/>
        <w:jc w:val="both"/>
      </w:pPr>
      <w:r>
        <w:t>(2)  Developed using actuarial methodologies that comply with the Actuarial Standards of Practice promulgated by the Actuarial Standards Board, including ASOP No. 12 (Risk Classification), ASOP No. 25 (Credibility Procedures), and ASOP No. 38 (Using Models Outside the Actuary's Area of Expertise);</w:t>
      </w:r>
    </w:p>
    <w:p w14:paraId="5C56E114" w14:textId="77777777" w:rsidR="002E7D0E" w:rsidRDefault="00000000">
      <w:pPr>
        <w:spacing w:before="80" w:after="80"/>
        <w:ind w:left="720"/>
        <w:jc w:val="both"/>
      </w:pPr>
      <w:r>
        <w:t>(3)  Certified in writing by a Qualified Actuary as meeting the standards of subparagraphs (1) and (2); and</w:t>
      </w:r>
    </w:p>
    <w:p w14:paraId="5C56E115" w14:textId="77777777" w:rsidR="002E7D0E" w:rsidRDefault="00000000">
      <w:pPr>
        <w:spacing w:before="80" w:after="80"/>
        <w:ind w:left="720"/>
        <w:jc w:val="both"/>
      </w:pPr>
      <w:r>
        <w:lastRenderedPageBreak/>
        <w:t>(4)  Submitted to and approved by the applicable state insurance regulator under applicable state rate-filing law.</w:t>
      </w:r>
    </w:p>
    <w:p w14:paraId="5C56E116" w14:textId="77777777" w:rsidR="002E7D0E" w:rsidRDefault="00000000">
      <w:pPr>
        <w:spacing w:before="80" w:after="80"/>
        <w:jc w:val="both"/>
      </w:pPr>
      <w:r>
        <w:t>A rate, increase, or factor is not Actuarially Justified solely by virtue of state regulatory approval if the rate filing omitted material data or was supported by falsified, fabricated, or materially inaccurate actuarial data. State approval creates a rebuttable presumption of actuarial justification, as provided in Section 5(d), but does not independently satisfy this definition where fraud or material misrepresentation is alleged.</w:t>
      </w:r>
    </w:p>
    <w:p w14:paraId="5C56E117" w14:textId="77777777" w:rsidR="002E7D0E" w:rsidRDefault="00000000">
      <w:pPr>
        <w:spacing w:before="80" w:after="80"/>
        <w:ind w:left="720"/>
        <w:jc w:val="both"/>
      </w:pPr>
      <w:r>
        <w:rPr>
          <w:b/>
          <w:bCs/>
          <w:i/>
          <w:iCs/>
          <w:color w:val="7B2D00"/>
          <w:sz w:val="20"/>
          <w:szCs w:val="20"/>
        </w:rPr>
        <w:t xml:space="preserve">[DRAFTING NOTE: </w:t>
      </w:r>
      <w:r>
        <w:rPr>
          <w:i/>
          <w:iCs/>
          <w:color w:val="7B2D00"/>
          <w:sz w:val="20"/>
          <w:szCs w:val="20"/>
        </w:rPr>
        <w:t>This definition establishes a minimum federal floor tied to recognized actuarial standards of practice — not rate outcomes — while preserving the state-approval safe harbor. This resolves the circularity problem in the original draft and gives the FTC meaningful enforcement traction on methodology and data integrity without rate-setting authority.]</w:t>
      </w:r>
    </w:p>
    <w:p w14:paraId="5C56E118" w14:textId="77777777" w:rsidR="002E7D0E" w:rsidRDefault="002E7D0E">
      <w:pPr>
        <w:spacing w:before="40" w:after="40"/>
      </w:pPr>
    </w:p>
    <w:p w14:paraId="5C56E119" w14:textId="77777777" w:rsidR="002E7D0E" w:rsidRDefault="00000000">
      <w:pPr>
        <w:spacing w:before="200" w:after="80"/>
      </w:pPr>
      <w:r>
        <w:rPr>
          <w:b/>
          <w:bCs/>
          <w:u w:val="single"/>
        </w:rPr>
        <w:t>"Covered Insurer"</w:t>
      </w:r>
    </w:p>
    <w:p w14:paraId="5C56E11A" w14:textId="77777777" w:rsidR="002E7D0E" w:rsidRDefault="00000000">
      <w:pPr>
        <w:spacing w:before="80" w:after="80"/>
        <w:jc w:val="both"/>
      </w:pPr>
      <w:r>
        <w:t>"Covered Insurer" means an insurer, as defined by applicable state insurance law, that offers or administers a Federally Connected Insurance Product.</w:t>
      </w:r>
    </w:p>
    <w:p w14:paraId="5C56E11B" w14:textId="77777777" w:rsidR="002E7D0E" w:rsidRDefault="002E7D0E">
      <w:pPr>
        <w:spacing w:before="40" w:after="40"/>
      </w:pPr>
    </w:p>
    <w:p w14:paraId="5C56E11C" w14:textId="77777777" w:rsidR="002E7D0E" w:rsidRDefault="00000000">
      <w:pPr>
        <w:spacing w:before="200" w:after="80"/>
      </w:pPr>
      <w:r>
        <w:rPr>
          <w:b/>
          <w:bCs/>
          <w:u w:val="single"/>
        </w:rPr>
        <w:t>"Cross-Regional Cost Allocation"</w:t>
      </w:r>
    </w:p>
    <w:p w14:paraId="5C56E11D" w14:textId="77777777" w:rsidR="002E7D0E" w:rsidRDefault="00000000">
      <w:pPr>
        <w:spacing w:before="80" w:after="80"/>
        <w:jc w:val="both"/>
      </w:pPr>
      <w:r>
        <w:t>"Cross-Regional Cost Allocation" means any methodology by which a Covered Insurer assigns or distributes a portion of losses, catastrophe exposure, reinsurance costs, or other costs incurred or projected in one geographic rating territory or actuarial pricing segment to the premium calculation for policyholders located in a different geographic rating territory or actuarial pricing segment.</w:t>
      </w:r>
    </w:p>
    <w:p w14:paraId="5C56E11E" w14:textId="77777777" w:rsidR="002E7D0E" w:rsidRDefault="002E7D0E">
      <w:pPr>
        <w:spacing w:before="40" w:after="40"/>
      </w:pPr>
    </w:p>
    <w:p w14:paraId="5C56E11F" w14:textId="77777777" w:rsidR="002E7D0E" w:rsidRDefault="00000000">
      <w:pPr>
        <w:spacing w:before="200" w:after="80"/>
      </w:pPr>
      <w:r>
        <w:rPr>
          <w:b/>
          <w:bCs/>
          <w:u w:val="single"/>
        </w:rPr>
        <w:t>"Excess Return"</w:t>
      </w:r>
    </w:p>
    <w:p w14:paraId="5C56E120" w14:textId="77777777" w:rsidR="002E7D0E" w:rsidRDefault="00000000">
      <w:pPr>
        <w:spacing w:before="80" w:after="80"/>
        <w:jc w:val="both"/>
      </w:pPr>
      <w:r>
        <w:t>"Excess Return" means a rate of return on equity, net income, or combined ratio outcome that exceeds the threshold determined to be excessive under the applicable state-approved rate-of-return standard or profit load standard, consistent with NAIC model rate regulation principles. In any state that does not maintain a formally adopted rate-of-return or profit load standard for the product category at issue, "Excess Return" shall be determined by reference to the NAIC Model Law on Rate Filing, as amended, which shall serve as the default floor standard for purposes of this Act.</w:t>
      </w:r>
    </w:p>
    <w:p w14:paraId="5C56E121" w14:textId="77777777" w:rsidR="002E7D0E" w:rsidRDefault="002E7D0E">
      <w:pPr>
        <w:spacing w:before="40" w:after="40"/>
      </w:pPr>
    </w:p>
    <w:p w14:paraId="5C56E122" w14:textId="77777777" w:rsidR="002E7D0E" w:rsidRDefault="00000000">
      <w:pPr>
        <w:spacing w:before="200" w:after="80"/>
      </w:pPr>
      <w:r>
        <w:rPr>
          <w:b/>
          <w:bCs/>
          <w:u w:val="single"/>
        </w:rPr>
        <w:t>"Federally Connected Insurance Product"</w:t>
      </w:r>
    </w:p>
    <w:p w14:paraId="5C56E123" w14:textId="77777777" w:rsidR="002E7D0E" w:rsidRDefault="00000000">
      <w:pPr>
        <w:spacing w:before="80" w:after="80"/>
        <w:jc w:val="both"/>
      </w:pPr>
      <w:r>
        <w:t>"Federally Connected Insurance Product" means an insurance product described in Section 3(a).</w:t>
      </w:r>
    </w:p>
    <w:p w14:paraId="5C56E124" w14:textId="77777777" w:rsidR="002E7D0E" w:rsidRDefault="002E7D0E">
      <w:pPr>
        <w:spacing w:before="40" w:after="40"/>
      </w:pPr>
    </w:p>
    <w:p w14:paraId="5C56E125" w14:textId="77777777" w:rsidR="002E7D0E" w:rsidRDefault="00000000">
      <w:pPr>
        <w:spacing w:before="200" w:after="80"/>
      </w:pPr>
      <w:r>
        <w:rPr>
          <w:b/>
          <w:bCs/>
          <w:u w:val="single"/>
        </w:rPr>
        <w:t>"Forward-Looking Risk Model"</w:t>
      </w:r>
    </w:p>
    <w:p w14:paraId="5C56E126" w14:textId="77777777" w:rsidR="002E7D0E" w:rsidRDefault="00000000">
      <w:pPr>
        <w:spacing w:before="80" w:after="80"/>
        <w:jc w:val="both"/>
      </w:pPr>
      <w:r>
        <w:t>"Forward-Looking Risk Model" means any catastrophe model, climate risk model, sea level rise projection, wildfire risk model, or similar analytical tool that incorporates projected future conditions — rather than solely historical loss experience — as a basis for estimating expected future losses or establishing actuarial pricing assumptions.</w:t>
      </w:r>
    </w:p>
    <w:p w14:paraId="5C56E127" w14:textId="77777777" w:rsidR="002E7D0E" w:rsidRDefault="002E7D0E">
      <w:pPr>
        <w:spacing w:before="40" w:after="40"/>
      </w:pPr>
    </w:p>
    <w:p w14:paraId="5C56E128" w14:textId="77777777" w:rsidR="002E7D0E" w:rsidRDefault="00000000">
      <w:pPr>
        <w:spacing w:before="200" w:after="80"/>
      </w:pPr>
      <w:r>
        <w:rPr>
          <w:b/>
          <w:bCs/>
          <w:u w:val="single"/>
        </w:rPr>
        <w:t>"Fraud"</w:t>
      </w:r>
    </w:p>
    <w:p w14:paraId="5C56E129" w14:textId="77777777" w:rsidR="002E7D0E" w:rsidRDefault="00000000">
      <w:pPr>
        <w:spacing w:before="80" w:after="80"/>
        <w:jc w:val="both"/>
      </w:pPr>
      <w:r>
        <w:lastRenderedPageBreak/>
        <w:t>"Fraud" means, in the context of this Act, the knowing and willful submission of materially false, fabricated, or omitted actuarial data to a state insurance regulator in connection with a rate filing for a Federally Connected Insurance Product, or the knowing and willful submission of false information to the FTC or DOJ in connection with any compliance obligation, audit, or investigation under this Act. Fraud shall be distinguished from good-faith actuarial disagreement, modeling uncertainty, or data estimation error.</w:t>
      </w:r>
    </w:p>
    <w:p w14:paraId="5C56E12A" w14:textId="77777777" w:rsidR="002E7D0E" w:rsidRDefault="002E7D0E">
      <w:pPr>
        <w:spacing w:before="40" w:after="40"/>
      </w:pPr>
    </w:p>
    <w:p w14:paraId="5C56E12B" w14:textId="77777777" w:rsidR="002E7D0E" w:rsidRDefault="00000000">
      <w:pPr>
        <w:spacing w:before="200" w:after="80"/>
      </w:pPr>
      <w:r>
        <w:rPr>
          <w:b/>
          <w:bCs/>
          <w:u w:val="single"/>
        </w:rPr>
        <w:t>"Imminent Harm"</w:t>
      </w:r>
    </w:p>
    <w:p w14:paraId="5C56E12C" w14:textId="77777777" w:rsidR="002E7D0E" w:rsidRDefault="00000000">
      <w:pPr>
        <w:spacing w:before="80" w:after="80"/>
        <w:jc w:val="both"/>
      </w:pPr>
      <w:r>
        <w:t>"Imminent Harm," for purposes of the exception to pre-enforcement notice requirements in Section 7(d), means a documented, articulable risk of significant financial harm to consumers participating in a federally backed program that is projected to materialize within thirty (30) calendar days of the date on which the FTC or DOJ initiates enforcement action, supported by specific factual findings set forth in a written determination signed by the Director of the Bureau of Consumer Protection or the applicable DOJ Division Chief, as appropriate. Good-faith actuarial disagreement, premium increases, or market exit by a Covered Insurer shall not independently constitute Imminent Harm.</w:t>
      </w:r>
    </w:p>
    <w:p w14:paraId="5C56E12D" w14:textId="77777777" w:rsidR="002E7D0E" w:rsidRDefault="002E7D0E">
      <w:pPr>
        <w:spacing w:before="40" w:after="40"/>
      </w:pPr>
    </w:p>
    <w:p w14:paraId="5C56E12E" w14:textId="77777777" w:rsidR="002E7D0E" w:rsidRDefault="00000000">
      <w:pPr>
        <w:spacing w:before="200" w:after="80"/>
      </w:pPr>
      <w:r>
        <w:rPr>
          <w:b/>
          <w:bCs/>
          <w:u w:val="single"/>
        </w:rPr>
        <w:t>"Material" (Cross-Regional Allocation Disclosure Threshold)</w:t>
      </w:r>
    </w:p>
    <w:p w14:paraId="5C56E12F" w14:textId="77777777" w:rsidR="002E7D0E" w:rsidRDefault="00000000">
      <w:pPr>
        <w:spacing w:before="80" w:after="80"/>
        <w:jc w:val="both"/>
      </w:pPr>
      <w:r>
        <w:t>"Material," for purposes of the cross-regional cost allocation disclosure obligation in Section 5(c), means a cross-regional cost allocation that accounts for five percent (5%) or more of the policyholder's total premium for the applicable policy period. The FTC may, by regulation following notice-and-comment rulemaking, adjust this threshold based on market evidence, provided the adjusted threshold shall not be less than two percent (2%) or greater than ten percent (10%).</w:t>
      </w:r>
    </w:p>
    <w:p w14:paraId="5C56E130" w14:textId="77777777" w:rsidR="002E7D0E" w:rsidRDefault="002E7D0E">
      <w:pPr>
        <w:spacing w:before="40" w:after="40"/>
      </w:pPr>
    </w:p>
    <w:p w14:paraId="5C56E131" w14:textId="77777777" w:rsidR="002E7D0E" w:rsidRDefault="00000000">
      <w:pPr>
        <w:spacing w:before="200" w:after="80"/>
      </w:pPr>
      <w:r>
        <w:rPr>
          <w:b/>
          <w:bCs/>
          <w:u w:val="single"/>
        </w:rPr>
        <w:t>"Plain Language"</w:t>
      </w:r>
    </w:p>
    <w:p w14:paraId="5C56E132" w14:textId="77777777" w:rsidR="002E7D0E" w:rsidRDefault="00000000">
      <w:pPr>
        <w:spacing w:before="80" w:after="80"/>
        <w:jc w:val="both"/>
      </w:pPr>
      <w:r>
        <w:t>"Plain Language" means written consumer communications produced in accordance with the Plain Writing Act of 2010, 5 U.S.C. § 301 note, and meeting a Flesch-Kincaid Grade Level of 8.0 or below, or such alternative readability standard as the FTC may establish by regulation.</w:t>
      </w:r>
    </w:p>
    <w:p w14:paraId="5C56E133" w14:textId="77777777" w:rsidR="002E7D0E" w:rsidRDefault="002E7D0E">
      <w:pPr>
        <w:spacing w:before="40" w:after="40"/>
      </w:pPr>
    </w:p>
    <w:p w14:paraId="5C56E134" w14:textId="77777777" w:rsidR="002E7D0E" w:rsidRDefault="00000000">
      <w:pPr>
        <w:spacing w:before="200" w:after="80"/>
      </w:pPr>
      <w:r>
        <w:rPr>
          <w:b/>
          <w:bCs/>
          <w:u w:val="single"/>
        </w:rPr>
        <w:t>"Qualified Actuary"</w:t>
      </w:r>
    </w:p>
    <w:p w14:paraId="5C56E135" w14:textId="77777777" w:rsidR="002E7D0E" w:rsidRDefault="00000000">
      <w:pPr>
        <w:spacing w:before="80" w:after="80"/>
        <w:jc w:val="both"/>
      </w:pPr>
      <w:r>
        <w:t>"Qualified Actuary" means an individual who:</w:t>
      </w:r>
    </w:p>
    <w:p w14:paraId="5C56E136" w14:textId="77777777" w:rsidR="002E7D0E" w:rsidRDefault="00000000">
      <w:pPr>
        <w:spacing w:before="80" w:after="80"/>
        <w:ind w:left="720"/>
        <w:jc w:val="both"/>
      </w:pPr>
      <w:r>
        <w:t>(1)  Is a Fellow of the Casualty Actuarial Society (FCAS) or an Associate of the Casualty Actuarial Society (ACAS), for certifications relating to property and casualty insurance products; or</w:t>
      </w:r>
    </w:p>
    <w:p w14:paraId="5C56E137" w14:textId="77777777" w:rsidR="002E7D0E" w:rsidRDefault="00000000">
      <w:pPr>
        <w:spacing w:before="80" w:after="80"/>
        <w:ind w:left="720"/>
        <w:jc w:val="both"/>
      </w:pPr>
      <w:r>
        <w:t>(2)  Is a Fellow of the Society of Actuaries (FSA) or an Associate of the Society of Actuaries (ASA), for certifications relating to health insurance or life insurance products; or</w:t>
      </w:r>
    </w:p>
    <w:p w14:paraId="5C56E138" w14:textId="77777777" w:rsidR="002E7D0E" w:rsidRDefault="00000000">
      <w:pPr>
        <w:spacing w:before="80" w:after="80"/>
        <w:ind w:left="720"/>
        <w:jc w:val="both"/>
      </w:pPr>
      <w:r>
        <w:t>(3)  Holds equivalent credentials recognized by the National Association of Insurance Commissioners for the relevant product category;</w:t>
      </w:r>
    </w:p>
    <w:p w14:paraId="5C56E139" w14:textId="77777777" w:rsidR="002E7D0E" w:rsidRDefault="00000000">
      <w:pPr>
        <w:spacing w:before="80" w:after="80"/>
        <w:jc w:val="both"/>
      </w:pPr>
      <w:r>
        <w:t>and who is in good standing with the applicable actuarial credentialing body and subject to its Code of Professional Conduct.</w:t>
      </w:r>
    </w:p>
    <w:p w14:paraId="5C56E13A" w14:textId="77777777" w:rsidR="002E7D0E" w:rsidRDefault="002E7D0E">
      <w:pPr>
        <w:spacing w:before="40" w:after="40"/>
      </w:pPr>
    </w:p>
    <w:p w14:paraId="5C56E13B" w14:textId="77777777" w:rsidR="002E7D0E" w:rsidRDefault="00000000">
      <w:pPr>
        <w:pStyle w:val="Heading1"/>
      </w:pPr>
      <w:r>
        <w:t>Section 5.  Transparency and Actuarial Standards</w:t>
      </w:r>
    </w:p>
    <w:p w14:paraId="5C56E13C" w14:textId="77777777" w:rsidR="002E7D0E" w:rsidRDefault="00000000">
      <w:pPr>
        <w:pStyle w:val="Heading2"/>
      </w:pPr>
      <w:r>
        <w:lastRenderedPageBreak/>
        <w:t>(a)  Actuarial Certification Requirement</w:t>
      </w:r>
    </w:p>
    <w:p w14:paraId="5C56E13D" w14:textId="77777777" w:rsidR="002E7D0E" w:rsidRDefault="00000000">
      <w:pPr>
        <w:spacing w:before="80" w:after="80"/>
        <w:jc w:val="both"/>
      </w:pPr>
      <w:r>
        <w:t>A Covered Insurer shall not implement a premium increase for a Federally Connected Insurance Product unless:</w:t>
      </w:r>
    </w:p>
    <w:p w14:paraId="5C56E13E" w14:textId="77777777" w:rsidR="002E7D0E" w:rsidRDefault="00000000">
      <w:pPr>
        <w:spacing w:before="80" w:after="80"/>
        <w:ind w:left="720"/>
        <w:jc w:val="both"/>
      </w:pPr>
      <w:r>
        <w:t>(1)  The increase is Actuarially Justified as defined in Section 4;</w:t>
      </w:r>
    </w:p>
    <w:p w14:paraId="5C56E13F" w14:textId="77777777" w:rsidR="002E7D0E" w:rsidRDefault="00000000">
      <w:pPr>
        <w:spacing w:before="80" w:after="80"/>
        <w:ind w:left="720"/>
        <w:jc w:val="both"/>
      </w:pPr>
      <w:r>
        <w:t>(2)  The rate filing is certified in writing by a Qualified Actuary attesting that the filing meets the standards of Section 4;</w:t>
      </w:r>
    </w:p>
    <w:p w14:paraId="5C56E140" w14:textId="77777777" w:rsidR="002E7D0E" w:rsidRDefault="00000000">
      <w:pPr>
        <w:spacing w:before="80" w:after="80"/>
        <w:ind w:left="720"/>
        <w:jc w:val="both"/>
      </w:pPr>
      <w:r>
        <w:t>(3)  The filing has been submitted to and approved by the applicable state insurance regulator; and</w:t>
      </w:r>
    </w:p>
    <w:p w14:paraId="5C56E141" w14:textId="77777777" w:rsidR="002E7D0E" w:rsidRDefault="00000000">
      <w:pPr>
        <w:spacing w:before="80" w:after="80"/>
        <w:ind w:left="720"/>
        <w:jc w:val="both"/>
      </w:pPr>
      <w:r>
        <w:t>(4)  The Covered Insurer has satisfied the consumer disclosure requirements of Section 5(b) within the timeframes prescribed by regulation.</w:t>
      </w:r>
    </w:p>
    <w:p w14:paraId="5C56E142" w14:textId="77777777" w:rsidR="002E7D0E" w:rsidRDefault="002E7D0E">
      <w:pPr>
        <w:spacing w:before="40" w:after="40"/>
      </w:pPr>
    </w:p>
    <w:p w14:paraId="5C56E143" w14:textId="77777777" w:rsidR="002E7D0E" w:rsidRDefault="00000000">
      <w:pPr>
        <w:pStyle w:val="Heading2"/>
      </w:pPr>
      <w:r>
        <w:t>(b)  Consumer Disclosure</w:t>
      </w:r>
    </w:p>
    <w:p w14:paraId="5C56E144" w14:textId="77777777" w:rsidR="002E7D0E" w:rsidRDefault="00000000">
      <w:pPr>
        <w:spacing w:before="80" w:after="80"/>
        <w:jc w:val="both"/>
      </w:pPr>
      <w:r>
        <w:t>Covered Insurers shall provide each policyholder, in Plain Language, not later than forty-five (45) days before the effective date of any premium change exceeding five percent (5%), and annually in all events, a written explanation of:</w:t>
      </w:r>
    </w:p>
    <w:p w14:paraId="5C56E145" w14:textId="77777777" w:rsidR="002E7D0E" w:rsidRDefault="00000000">
      <w:pPr>
        <w:spacing w:before="80" w:after="80"/>
        <w:ind w:left="720"/>
        <w:jc w:val="both"/>
      </w:pPr>
      <w:r>
        <w:t>(1)  The primary actuarial drivers of any premium change, expressed in terms a policyholder of ordinary understanding can comprehend, including the relative contribution of claims experience, catastrophe modeling, reinsurance cost changes, and operating expenses;</w:t>
      </w:r>
    </w:p>
    <w:p w14:paraId="5C56E146" w14:textId="77777777" w:rsidR="002E7D0E" w:rsidRDefault="00000000">
      <w:pPr>
        <w:spacing w:before="80" w:after="80"/>
        <w:ind w:left="720"/>
        <w:jc w:val="both"/>
      </w:pPr>
      <w:r>
        <w:t>(2)  Any Cross-Regional Cost Allocation that is Material within the meaning of Section 4; and</w:t>
      </w:r>
    </w:p>
    <w:p w14:paraId="5C56E147" w14:textId="77777777" w:rsidR="002E7D0E" w:rsidRDefault="00000000">
      <w:pPr>
        <w:spacing w:before="80" w:after="80"/>
        <w:ind w:left="720"/>
        <w:jc w:val="both"/>
      </w:pPr>
      <w:r>
        <w:t>(3)  Whether any Forward-Looking Risk Model was used as a material input to the rate determination, and if so, the general category of risk projected (e.g., hurricane frequency, wildfire perimeter, sea level rise) — without requiring disclosure of proprietary model algorithms.</w:t>
      </w:r>
    </w:p>
    <w:p w14:paraId="5C56E148" w14:textId="77777777" w:rsidR="002E7D0E" w:rsidRDefault="00000000">
      <w:pPr>
        <w:spacing w:before="80" w:after="80"/>
        <w:jc w:val="both"/>
      </w:pPr>
      <w:r>
        <w:t>Disclosure under this section shall be provided in paper and electronic format, or electronic format alone where the policyholder has affirmatively consented to electronic-only communications.</w:t>
      </w:r>
    </w:p>
    <w:p w14:paraId="5C56E149" w14:textId="77777777" w:rsidR="002E7D0E" w:rsidRDefault="00000000">
      <w:pPr>
        <w:spacing w:before="80" w:after="80"/>
        <w:ind w:left="720"/>
        <w:jc w:val="both"/>
      </w:pPr>
      <w:r>
        <w:rPr>
          <w:b/>
          <w:bCs/>
          <w:i/>
          <w:iCs/>
          <w:color w:val="7B2D00"/>
          <w:sz w:val="20"/>
          <w:szCs w:val="20"/>
        </w:rPr>
        <w:t xml:space="preserve">[DRAFTING NOTE: </w:t>
      </w:r>
      <w:r>
        <w:rPr>
          <w:i/>
          <w:iCs/>
          <w:color w:val="7B2D00"/>
          <w:sz w:val="20"/>
          <w:szCs w:val="20"/>
        </w:rPr>
        <w:t>The FTC shall promulgate a model disclosure form within 18 months of enactment to assist Covered Insurers with compliance. Standardized forms reduce compliance costs and improve consumer comparability.]</w:t>
      </w:r>
    </w:p>
    <w:p w14:paraId="5C56E14A" w14:textId="77777777" w:rsidR="002E7D0E" w:rsidRDefault="002E7D0E">
      <w:pPr>
        <w:spacing w:before="40" w:after="40"/>
      </w:pPr>
    </w:p>
    <w:p w14:paraId="5C56E14B" w14:textId="77777777" w:rsidR="002E7D0E" w:rsidRDefault="00000000">
      <w:pPr>
        <w:pStyle w:val="Heading2"/>
      </w:pPr>
      <w:r>
        <w:t>(c)  Cross-Regional Allocation Standards</w:t>
      </w:r>
    </w:p>
    <w:p w14:paraId="5C56E14C" w14:textId="77777777" w:rsidR="002E7D0E" w:rsidRDefault="00000000">
      <w:pPr>
        <w:spacing w:before="80" w:after="80"/>
        <w:jc w:val="both"/>
      </w:pPr>
      <w:r>
        <w:t>Cross-Regional Cost Allocation affecting Federally Connected Insurance Products must be:</w:t>
      </w:r>
    </w:p>
    <w:p w14:paraId="5C56E14D" w14:textId="77777777" w:rsidR="002E7D0E" w:rsidRDefault="00000000">
      <w:pPr>
        <w:spacing w:before="80" w:after="80"/>
        <w:ind w:left="720"/>
        <w:jc w:val="both"/>
      </w:pPr>
      <w:r>
        <w:t>(1)  Actuarially Justified as defined in Section 4;</w:t>
      </w:r>
    </w:p>
    <w:p w14:paraId="5C56E14E" w14:textId="77777777" w:rsidR="002E7D0E" w:rsidRDefault="00000000">
      <w:pPr>
        <w:spacing w:before="80" w:after="80"/>
        <w:ind w:left="720"/>
        <w:jc w:val="both"/>
      </w:pPr>
      <w:r>
        <w:t>(2)  Fully disclosed in rate filings submitted to the applicable state insurance regulator; and</w:t>
      </w:r>
    </w:p>
    <w:p w14:paraId="5C56E14F" w14:textId="77777777" w:rsidR="002E7D0E" w:rsidRDefault="00000000">
      <w:pPr>
        <w:spacing w:before="80" w:after="80"/>
        <w:ind w:left="720"/>
        <w:jc w:val="both"/>
      </w:pPr>
      <w:r>
        <w:t>(3)  Expressly approved by the applicable state regulator as part of the rate filing process.</w:t>
      </w:r>
    </w:p>
    <w:p w14:paraId="5C56E150" w14:textId="77777777" w:rsidR="002E7D0E" w:rsidRDefault="00000000">
      <w:pPr>
        <w:spacing w:before="80" w:after="80"/>
        <w:jc w:val="both"/>
      </w:pPr>
      <w:r>
        <w:t>A Covered Insurer shall not implement a Cross-Regional Cost Allocation that causes a Material premium change without first satisfying the requirements of this subsection.</w:t>
      </w:r>
    </w:p>
    <w:p w14:paraId="5C56E151" w14:textId="77777777" w:rsidR="002E7D0E" w:rsidRDefault="002E7D0E">
      <w:pPr>
        <w:spacing w:before="40" w:after="40"/>
      </w:pPr>
    </w:p>
    <w:p w14:paraId="5C56E152" w14:textId="77777777" w:rsidR="002E7D0E" w:rsidRDefault="00000000">
      <w:pPr>
        <w:pStyle w:val="Heading2"/>
      </w:pPr>
      <w:r>
        <w:t>(d)  Forward-Looking Risk Model Disclosure and Validation</w:t>
      </w:r>
    </w:p>
    <w:p w14:paraId="5C56E153" w14:textId="77777777" w:rsidR="002E7D0E" w:rsidRDefault="00000000">
      <w:pPr>
        <w:spacing w:before="80" w:after="80"/>
        <w:jc w:val="both"/>
      </w:pPr>
      <w:r>
        <w:lastRenderedPageBreak/>
        <w:t>Where a Covered Insurer employs a Forward-Looking Risk Model as a material actuarial input in support of a rate filing for a Federally Connected Insurance Product:</w:t>
      </w:r>
    </w:p>
    <w:p w14:paraId="5C56E154" w14:textId="77777777" w:rsidR="002E7D0E" w:rsidRDefault="00000000">
      <w:pPr>
        <w:spacing w:before="80" w:after="80"/>
        <w:ind w:left="720"/>
        <w:jc w:val="both"/>
      </w:pPr>
      <w:r>
        <w:t>(1)  The rate filing shall identify the model used, its developer or licensor, and the primary risk factor projected;</w:t>
      </w:r>
    </w:p>
    <w:p w14:paraId="5C56E155" w14:textId="77777777" w:rsidR="002E7D0E" w:rsidRDefault="00000000">
      <w:pPr>
        <w:spacing w:before="80" w:after="80"/>
        <w:ind w:left="720"/>
        <w:jc w:val="both"/>
      </w:pPr>
      <w:r>
        <w:t>(2)  The Qualified Actuary certifying the filing shall attest that the model has been applied consistent with Actuarial Standard of Practice No. 38 (Using Models Outside the Actuary's Area of Expertise) and that sensitivity analyses have been performed;</w:t>
      </w:r>
    </w:p>
    <w:p w14:paraId="5C56E156" w14:textId="77777777" w:rsidR="002E7D0E" w:rsidRDefault="00000000">
      <w:pPr>
        <w:spacing w:before="80" w:after="80"/>
        <w:ind w:left="720"/>
        <w:jc w:val="both"/>
      </w:pPr>
      <w:r>
        <w:t>(3)  The applicable state insurance regulator shall assess whether the Forward-Looking Risk Model satisfies minimum validation standards consistent with NAIC climate risk guidance, as updated;</w:t>
      </w:r>
    </w:p>
    <w:p w14:paraId="5C56E157" w14:textId="77777777" w:rsidR="002E7D0E" w:rsidRDefault="00000000">
      <w:pPr>
        <w:spacing w:before="80" w:after="80"/>
        <w:ind w:left="720"/>
        <w:jc w:val="both"/>
      </w:pPr>
      <w:r>
        <w:t>(4)  Nothing in this subsection shall require disclosure of proprietary model source code, trade secrets, or competitive algorithms, provided that the attestation requirements of subparagraph (2) are satisfied.</w:t>
      </w:r>
    </w:p>
    <w:p w14:paraId="5C56E158" w14:textId="77777777" w:rsidR="002E7D0E" w:rsidRDefault="00000000">
      <w:pPr>
        <w:spacing w:before="80" w:after="80"/>
        <w:ind w:left="720"/>
        <w:jc w:val="both"/>
      </w:pPr>
      <w:r>
        <w:rPr>
          <w:b/>
          <w:bCs/>
          <w:i/>
          <w:iCs/>
          <w:color w:val="7B2D00"/>
          <w:sz w:val="20"/>
          <w:szCs w:val="20"/>
        </w:rPr>
        <w:t xml:space="preserve">[DRAFTING NOTE: </w:t>
      </w:r>
      <w:r>
        <w:rPr>
          <w:i/>
          <w:iCs/>
          <w:color w:val="7B2D00"/>
          <w:sz w:val="20"/>
          <w:szCs w:val="20"/>
        </w:rPr>
        <w:t>This provision fills the most acute transparency gap in the current regulatory framework. Reinsurance price increases and proprietary forward-looking models are the primary drivers of premium increases in catastrophe-exposed markets. This section addresses methodology transparency without ordering actuarial outcomes.]</w:t>
      </w:r>
    </w:p>
    <w:p w14:paraId="5C56E159" w14:textId="77777777" w:rsidR="002E7D0E" w:rsidRDefault="002E7D0E">
      <w:pPr>
        <w:spacing w:before="40" w:after="40"/>
      </w:pPr>
    </w:p>
    <w:p w14:paraId="5C56E15A" w14:textId="77777777" w:rsidR="002E7D0E" w:rsidRDefault="00000000">
      <w:pPr>
        <w:pStyle w:val="Heading2"/>
      </w:pPr>
      <w:r>
        <w:t>(e)  Safe Harbor</w:t>
      </w:r>
    </w:p>
    <w:p w14:paraId="5C56E15B" w14:textId="77777777" w:rsidR="002E7D0E" w:rsidRDefault="00000000">
      <w:pPr>
        <w:spacing w:before="80" w:after="80"/>
        <w:jc w:val="both"/>
      </w:pPr>
      <w:r>
        <w:t>Compliance with a state-approved rate filing that satisfies the actuarial certification and disclosure requirements of this Section shall create a rebuttable presumption of compliance with this Act. This presumption shall not be retroactively defeated by a subsequent state regulatory revision of a previously approved filing, absent a finding of Fraud as defined in Section 4.</w:t>
      </w:r>
    </w:p>
    <w:p w14:paraId="5C56E15C" w14:textId="77777777" w:rsidR="002E7D0E" w:rsidRDefault="00000000">
      <w:pPr>
        <w:spacing w:before="80" w:after="80"/>
        <w:jc w:val="both"/>
      </w:pPr>
      <w:r>
        <w:t>A Covered Insurer that demonstrates good-faith reliance on a state-approved actuarial methodology in effect at the time of rate filing shall not be subject to federal disqualification under Section 7(e)(5), absent a finding of willful falsification of underlying actuarial data.</w:t>
      </w:r>
    </w:p>
    <w:p w14:paraId="5C56E15D" w14:textId="77777777" w:rsidR="002E7D0E" w:rsidRDefault="002E7D0E">
      <w:pPr>
        <w:spacing w:before="40" w:after="40"/>
      </w:pPr>
    </w:p>
    <w:p w14:paraId="5C56E15E" w14:textId="77777777" w:rsidR="002E7D0E" w:rsidRDefault="00000000">
      <w:pPr>
        <w:pStyle w:val="Heading1"/>
      </w:pPr>
      <w:r>
        <w:t>Section 6.  Consumer Incentive and Rebate Standards</w:t>
      </w:r>
    </w:p>
    <w:p w14:paraId="5C56E15F" w14:textId="77777777" w:rsidR="002E7D0E" w:rsidRDefault="00000000">
      <w:pPr>
        <w:pStyle w:val="Heading2"/>
      </w:pPr>
      <w:r>
        <w:t>(a)  No-Claim Discount Disclosure</w:t>
      </w:r>
    </w:p>
    <w:p w14:paraId="5C56E160" w14:textId="77777777" w:rsidR="002E7D0E" w:rsidRDefault="00000000">
      <w:pPr>
        <w:spacing w:before="80" w:after="80"/>
        <w:jc w:val="both"/>
      </w:pPr>
      <w:r>
        <w:t>Covered Insurers shall disclose to policyholders, in their annual consumer communication required under Section 5(b):</w:t>
      </w:r>
    </w:p>
    <w:p w14:paraId="5C56E161" w14:textId="77777777" w:rsidR="002E7D0E" w:rsidRDefault="00000000">
      <w:pPr>
        <w:spacing w:before="80" w:after="80"/>
        <w:ind w:left="720"/>
        <w:jc w:val="both"/>
      </w:pPr>
      <w:r>
        <w:t>(1)  Whether the insurer offers any rating factor, discount, credit, or other mechanism that recognizes sustained no-claim behavior for the class of policy at issue;</w:t>
      </w:r>
    </w:p>
    <w:p w14:paraId="5C56E162" w14:textId="77777777" w:rsidR="002E7D0E" w:rsidRDefault="00000000">
      <w:pPr>
        <w:spacing w:before="80" w:after="80"/>
        <w:ind w:left="720"/>
        <w:jc w:val="both"/>
      </w:pPr>
      <w:r>
        <w:t>(2)  If such a factor exists, its magnitude and the eligibility criteria;</w:t>
      </w:r>
    </w:p>
    <w:p w14:paraId="5C56E163" w14:textId="77777777" w:rsidR="002E7D0E" w:rsidRDefault="00000000">
      <w:pPr>
        <w:spacing w:before="80" w:after="80"/>
        <w:ind w:left="720"/>
        <w:jc w:val="both"/>
      </w:pPr>
      <w:r>
        <w:t>(3)  If no such factor exists, a statement to that effect.</w:t>
      </w:r>
    </w:p>
    <w:p w14:paraId="5C56E164" w14:textId="77777777" w:rsidR="002E7D0E" w:rsidRDefault="00000000">
      <w:pPr>
        <w:spacing w:before="80" w:after="80"/>
        <w:ind w:left="720"/>
        <w:jc w:val="both"/>
      </w:pPr>
      <w:r>
        <w:rPr>
          <w:b/>
          <w:bCs/>
          <w:i/>
          <w:iCs/>
          <w:color w:val="7B2D00"/>
          <w:sz w:val="20"/>
          <w:szCs w:val="20"/>
        </w:rPr>
        <w:t xml:space="preserve">[DRAFTING NOTE: </w:t>
      </w:r>
      <w:r>
        <w:rPr>
          <w:i/>
          <w:iCs/>
          <w:color w:val="7B2D00"/>
          <w:sz w:val="20"/>
          <w:szCs w:val="20"/>
        </w:rPr>
        <w:t>The original Section 6(a) mandated that Covered Insurers 'implement actuarially justified rating factors that reward sustained no-claim behavior.' This was a product design mandate that conflicted with state regulatory primacy: if a state regulator declined to approve such a factor, an insurer would face irreconcilable obligations. The revision converts this to a disclosure obligation — preserving consumer information rights without displacing state rate regulation. This also removes a significant industry opposition target.]</w:t>
      </w:r>
    </w:p>
    <w:p w14:paraId="5C56E165" w14:textId="77777777" w:rsidR="002E7D0E" w:rsidRDefault="002E7D0E">
      <w:pPr>
        <w:spacing w:before="40" w:after="40"/>
      </w:pPr>
    </w:p>
    <w:p w14:paraId="5C56E166" w14:textId="77777777" w:rsidR="002E7D0E" w:rsidRDefault="00000000">
      <w:pPr>
        <w:pStyle w:val="Heading2"/>
      </w:pPr>
      <w:r>
        <w:lastRenderedPageBreak/>
        <w:t>(b)  Excess Return Rebates</w:t>
      </w:r>
    </w:p>
    <w:p w14:paraId="5C56E167" w14:textId="77777777" w:rsidR="002E7D0E" w:rsidRDefault="00000000">
      <w:pPr>
        <w:spacing w:before="80" w:after="80"/>
        <w:jc w:val="both"/>
      </w:pPr>
      <w:r>
        <w:t>If the applicable state insurance regulator determines, through its established rate-review or financial examination processes, that a Covered Insurer has earned an Excess Return on a Federally Connected Insurance Product, the Covered Insurer shall issue policyholder rebates, premium credits, or rate adjustments in the next applicable policy period, consistent with the state regulator's approved methodology and schedule.</w:t>
      </w:r>
    </w:p>
    <w:p w14:paraId="5C56E168" w14:textId="77777777" w:rsidR="002E7D0E" w:rsidRDefault="00000000">
      <w:pPr>
        <w:spacing w:before="80" w:after="80"/>
        <w:jc w:val="both"/>
      </w:pPr>
      <w:r>
        <w:t>For health insurance issuers offering qualified health plans on federal exchanges, compliance with the Medical Loss Ratio rebate requirements of 42 U.S.C. § 18152 shall constitute per se compliance with this subsection, as provided in Section 3(f)(1).</w:t>
      </w:r>
    </w:p>
    <w:p w14:paraId="5C56E169" w14:textId="77777777" w:rsidR="002E7D0E" w:rsidRDefault="00000000">
      <w:pPr>
        <w:spacing w:before="80" w:after="80"/>
        <w:jc w:val="both"/>
      </w:pPr>
      <w:r>
        <w:t>If the applicable state insurance regulator has not established an Excess Return determination methodology, the NAIC Model Law on Rate Filing shall serve as the default standard for purposes of this Act, as provided in the definition of Excess Return in Section 4.</w:t>
      </w:r>
    </w:p>
    <w:p w14:paraId="5C56E16A" w14:textId="77777777" w:rsidR="002E7D0E" w:rsidRDefault="002E7D0E">
      <w:pPr>
        <w:spacing w:before="40" w:after="40"/>
      </w:pPr>
    </w:p>
    <w:p w14:paraId="5C56E16B" w14:textId="77777777" w:rsidR="002E7D0E" w:rsidRDefault="00000000">
      <w:pPr>
        <w:pStyle w:val="Heading2"/>
      </w:pPr>
      <w:r>
        <w:t>(c)  Escrow During Fraud Investigations</w:t>
      </w:r>
    </w:p>
    <w:p w14:paraId="5C56E16C" w14:textId="77777777" w:rsidR="002E7D0E" w:rsidRDefault="00000000">
      <w:pPr>
        <w:spacing w:before="80" w:after="80"/>
        <w:jc w:val="both"/>
      </w:pPr>
      <w:r>
        <w:t>Upon the initiation of a formal DOJ investigation under Section 7(c) for alleged Fraud related to a rate filing for a Federally Connected Insurance Product, the FTC may petition the applicable state insurance regulator to require the Covered Insurer to deposit disputed excess premium amounts — specifically, amounts collected above the rate that would apply absent the alleged falsified data — into a segregated escrow or reserve account. Such petition shall not be made without the agreement of the applicable state regulator, and any escrow arrangement shall be subject to state regulatory approval and supervision. Amounts held in escrow shall be returned to the insurer if the fraud allegation is not sustained, with interest at the applicable federal rate.</w:t>
      </w:r>
    </w:p>
    <w:p w14:paraId="5C56E16D" w14:textId="77777777" w:rsidR="002E7D0E" w:rsidRDefault="00000000">
      <w:pPr>
        <w:spacing w:before="80" w:after="80"/>
        <w:ind w:left="720"/>
        <w:jc w:val="both"/>
      </w:pPr>
      <w:r>
        <w:rPr>
          <w:b/>
          <w:bCs/>
          <w:i/>
          <w:iCs/>
          <w:color w:val="7B2D00"/>
          <w:sz w:val="20"/>
          <w:szCs w:val="20"/>
        </w:rPr>
        <w:t xml:space="preserve">[DRAFTING NOTE: </w:t>
      </w:r>
      <w:r>
        <w:rPr>
          <w:i/>
          <w:iCs/>
          <w:color w:val="7B2D00"/>
          <w:sz w:val="20"/>
          <w:szCs w:val="20"/>
        </w:rPr>
        <w:t>This provision protects policyholders during active fraud investigations without unilaterally ordering rate refunds — a function reserved for state regulators. The FTC's role is limited to petitioning the state regulator, who retains authority to approve or deny.]</w:t>
      </w:r>
    </w:p>
    <w:p w14:paraId="5C56E16E" w14:textId="77777777" w:rsidR="002E7D0E" w:rsidRDefault="002E7D0E">
      <w:pPr>
        <w:spacing w:before="40" w:after="40"/>
      </w:pPr>
    </w:p>
    <w:p w14:paraId="5C56E16F" w14:textId="77777777" w:rsidR="002E7D0E" w:rsidRDefault="00000000">
      <w:pPr>
        <w:pStyle w:val="Heading1"/>
      </w:pPr>
      <w:r>
        <w:t>Section 7.  Federal Oversight and Enforcement</w:t>
      </w:r>
    </w:p>
    <w:p w14:paraId="5C56E170" w14:textId="77777777" w:rsidR="002E7D0E" w:rsidRDefault="00000000">
      <w:pPr>
        <w:pStyle w:val="Heading2"/>
      </w:pPr>
      <w:r>
        <w:t>(a)  State Primary Authority</w:t>
      </w:r>
    </w:p>
    <w:p w14:paraId="5C56E171" w14:textId="77777777" w:rsidR="002E7D0E" w:rsidRDefault="00000000">
      <w:pPr>
        <w:spacing w:before="80" w:after="80"/>
        <w:jc w:val="both"/>
      </w:pPr>
      <w:r>
        <w:t>Primary authority for rate approval, actuarial determinations, and insurance market supervision remains with state insurance regulators. Nothing in this Act shall diminish, supersede, or displace that authority. Federal enforcement under this Act is limited to the program-integrity conditions established by Section 3(a) and the transparency and anti-fraud obligations of Sections 5 and 6.</w:t>
      </w:r>
    </w:p>
    <w:p w14:paraId="5C56E172" w14:textId="77777777" w:rsidR="002E7D0E" w:rsidRDefault="002E7D0E">
      <w:pPr>
        <w:spacing w:before="40" w:after="40"/>
      </w:pPr>
    </w:p>
    <w:p w14:paraId="5C56E173" w14:textId="77777777" w:rsidR="002E7D0E" w:rsidRDefault="00000000">
      <w:pPr>
        <w:pStyle w:val="Heading2"/>
      </w:pPr>
      <w:r>
        <w:t>(b)  Federal Insurance Office Coordination</w:t>
      </w:r>
    </w:p>
    <w:p w14:paraId="5C56E174" w14:textId="77777777" w:rsidR="002E7D0E" w:rsidRDefault="00000000">
      <w:pPr>
        <w:spacing w:before="80" w:after="80"/>
        <w:jc w:val="both"/>
      </w:pPr>
      <w:r>
        <w:t>The Federal Insurance Office (FIO) of the Department of the Treasury, operating under its authority pursuant to 31 U.S.C. § 313, shall:</w:t>
      </w:r>
    </w:p>
    <w:p w14:paraId="5C56E175" w14:textId="77777777" w:rsidR="002E7D0E" w:rsidRDefault="00000000">
      <w:pPr>
        <w:spacing w:before="80" w:after="80"/>
        <w:ind w:left="720"/>
        <w:jc w:val="both"/>
      </w:pPr>
      <w:r>
        <w:lastRenderedPageBreak/>
        <w:t>(1)  Within eighteen (18) months of the date of enactment, publish a baseline market assessment of the covered insurance markets identified in Section 3(a), including premium trend data, insurer participation rates, market concentration, and availability metrics, by state and region;</w:t>
      </w:r>
    </w:p>
    <w:p w14:paraId="5C56E176" w14:textId="77777777" w:rsidR="002E7D0E" w:rsidRDefault="00000000">
      <w:pPr>
        <w:spacing w:before="80" w:after="80"/>
        <w:ind w:left="720"/>
        <w:jc w:val="both"/>
      </w:pPr>
      <w:r>
        <w:t>(2)  Publish annual market-monitoring reports for covered markets, including trend data, state regulatory capacity assessments, and identification of markets experiencing significant insurer withdrawal or access constraints;</w:t>
      </w:r>
    </w:p>
    <w:p w14:paraId="5C56E177" w14:textId="77777777" w:rsidR="002E7D0E" w:rsidRDefault="00000000">
      <w:pPr>
        <w:spacing w:before="80" w:after="80"/>
        <w:ind w:left="720"/>
        <w:jc w:val="both"/>
      </w:pPr>
      <w:r>
        <w:t>(3)  Provide technical actuarial assistance and analysis to the FTC to support enforcement activities under this Act, given the FTC's absence of institutional insurance expertise; and</w:t>
      </w:r>
    </w:p>
    <w:p w14:paraId="5C56E178" w14:textId="77777777" w:rsidR="002E7D0E" w:rsidRDefault="00000000">
      <w:pPr>
        <w:spacing w:before="80" w:after="80"/>
        <w:ind w:left="720"/>
        <w:jc w:val="both"/>
      </w:pPr>
      <w:r>
        <w:t>(4)  Coordinate with the NAIC to develop, within 24 months of enactment, minimum procedural standards for state actuarial review of Federally Connected Insurance Products.</w:t>
      </w:r>
    </w:p>
    <w:p w14:paraId="5C56E179" w14:textId="77777777" w:rsidR="002E7D0E" w:rsidRDefault="00000000">
      <w:pPr>
        <w:spacing w:before="80" w:after="80"/>
        <w:ind w:left="720"/>
        <w:jc w:val="both"/>
      </w:pPr>
      <w:r>
        <w:rPr>
          <w:b/>
          <w:bCs/>
          <w:i/>
          <w:iCs/>
          <w:color w:val="7B2D00"/>
          <w:sz w:val="20"/>
          <w:szCs w:val="20"/>
        </w:rPr>
        <w:t xml:space="preserve">[DRAFTING NOTE: </w:t>
      </w:r>
      <w:r>
        <w:rPr>
          <w:i/>
          <w:iCs/>
          <w:color w:val="7B2D00"/>
          <w:sz w:val="20"/>
          <w:szCs w:val="20"/>
        </w:rPr>
        <w:t>The original draft assigned enforcement solely to the FTC, which has no actuarial capacity, no insurance examination staff, and no existing relationships with state insurance departments. Routing the actuarial and market analysis function through FIO — which has existing Dodd-Frank authority and growing insurance expertise — and retaining enforcement authority in the FTC better aligns institutional competencies. This is not a new bureaucracy; it is efficient use of existing statutory authorities.]</w:t>
      </w:r>
    </w:p>
    <w:p w14:paraId="5C56E17A" w14:textId="77777777" w:rsidR="002E7D0E" w:rsidRDefault="002E7D0E">
      <w:pPr>
        <w:spacing w:before="40" w:after="40"/>
      </w:pPr>
    </w:p>
    <w:p w14:paraId="5C56E17B" w14:textId="77777777" w:rsidR="002E7D0E" w:rsidRDefault="00000000">
      <w:pPr>
        <w:pStyle w:val="Heading2"/>
      </w:pPr>
      <w:r>
        <w:t>(c)  Federal Trade Commission Enforcement Authority</w:t>
      </w:r>
    </w:p>
    <w:p w14:paraId="5C56E17C" w14:textId="77777777" w:rsidR="002E7D0E" w:rsidRDefault="00000000">
      <w:pPr>
        <w:spacing w:before="80" w:after="80"/>
        <w:jc w:val="both"/>
      </w:pPr>
      <w:r>
        <w:t>The Federal Trade Commission may enforce the transparency, disclosure, and anti-fraud provisions of this Act as applied to Covered Insurers participating in federally backed programs, subject to the following limitations:</w:t>
      </w:r>
    </w:p>
    <w:p w14:paraId="5C56E17D" w14:textId="77777777" w:rsidR="002E7D0E" w:rsidRDefault="00000000">
      <w:pPr>
        <w:spacing w:before="80" w:after="80"/>
        <w:ind w:left="720"/>
        <w:jc w:val="both"/>
      </w:pPr>
      <w:r>
        <w:t>(1)  The FTC shall not engage in independent rate-setting, rate approval, actuarial determinations, or any function that operates to set, modify, or approve insurance rates. FTC enforcement authority is limited to methodology, data integrity, and disclosure compliance.</w:t>
      </w:r>
    </w:p>
    <w:p w14:paraId="5C56E17E" w14:textId="77777777" w:rsidR="002E7D0E" w:rsidRDefault="00000000">
      <w:pPr>
        <w:spacing w:before="80" w:after="80"/>
        <w:ind w:left="720"/>
        <w:jc w:val="both"/>
      </w:pPr>
      <w:r>
        <w:t>(2)  The FTC shall not characterize an actuarial determination approved by a state insurance regulator as a violation of this Act absent a written finding, signed by the Director of the Bureau of Consumer Protection, that the underlying actuarial data was willfully falsified or materially fabricated.</w:t>
      </w:r>
    </w:p>
    <w:p w14:paraId="5C56E17F" w14:textId="77777777" w:rsidR="002E7D0E" w:rsidRDefault="00000000">
      <w:pPr>
        <w:spacing w:before="80" w:after="80"/>
        <w:ind w:left="720"/>
        <w:jc w:val="both"/>
      </w:pPr>
      <w:r>
        <w:t>(3)  Before initiating any enforcement action under this Act, the FTC shall notify the applicable state insurance regulator and provide a 30-day period for the state regulator to respond, object, or indicate that a parallel state enforcement action is pending or intended. The FTC shall give substantial weight to a state regulator's objection before proceeding.</w:t>
      </w:r>
    </w:p>
    <w:p w14:paraId="5C56E180" w14:textId="77777777" w:rsidR="002E7D0E" w:rsidRDefault="00000000">
      <w:pPr>
        <w:spacing w:before="80" w:after="80"/>
        <w:ind w:left="720"/>
        <w:jc w:val="both"/>
      </w:pPr>
      <w:r>
        <w:t>(4)  The FTC's authority under this subsection does not extend to any action that operates to invalidate, impair, or supersede state insurance law within the meaning of 15 U.S.C. § 1012(b).</w:t>
      </w:r>
    </w:p>
    <w:p w14:paraId="5C56E181" w14:textId="77777777" w:rsidR="002E7D0E" w:rsidRDefault="002E7D0E">
      <w:pPr>
        <w:spacing w:before="40" w:after="40"/>
      </w:pPr>
    </w:p>
    <w:p w14:paraId="5C56E182" w14:textId="77777777" w:rsidR="002E7D0E" w:rsidRDefault="00000000">
      <w:pPr>
        <w:pStyle w:val="Heading2"/>
      </w:pPr>
      <w:r>
        <w:t>(d)  Department of Justice Enforcement Authority</w:t>
      </w:r>
    </w:p>
    <w:p w14:paraId="5C56E183" w14:textId="77777777" w:rsidR="002E7D0E" w:rsidRDefault="00000000">
      <w:pPr>
        <w:spacing w:before="80" w:after="80"/>
        <w:jc w:val="both"/>
      </w:pPr>
      <w:r>
        <w:t>The Department of Justice may pursue civil or criminal enforcement for willful Fraud, data falsification, material misrepresentation, obstruction, or retaliation related to compliance with this Act. DOJ enforcement authority is independent of, and may proceed concurrently with, FTC administrative enforcement under Section 7(c) and Section 7(e).</w:t>
      </w:r>
    </w:p>
    <w:p w14:paraId="5C56E184" w14:textId="77777777" w:rsidR="002E7D0E" w:rsidRDefault="002E7D0E">
      <w:pPr>
        <w:spacing w:before="40" w:after="40"/>
      </w:pPr>
    </w:p>
    <w:p w14:paraId="5C56E185" w14:textId="77777777" w:rsidR="002E7D0E" w:rsidRDefault="00000000">
      <w:pPr>
        <w:pStyle w:val="Heading2"/>
      </w:pPr>
      <w:r>
        <w:lastRenderedPageBreak/>
        <w:t>(e)  Graduated Sanction Structure</w:t>
      </w:r>
    </w:p>
    <w:p w14:paraId="5C56E186" w14:textId="77777777" w:rsidR="002E7D0E" w:rsidRDefault="00000000">
      <w:pPr>
        <w:spacing w:before="80" w:after="80"/>
        <w:jc w:val="both"/>
      </w:pPr>
      <w:r>
        <w:t>Enforcement actions under this Act shall follow the following graduated sanction structure. Sanctions shall be imposed in ascending order, and a higher-level sanction shall not be imposed without documented exhaustion of lower-level sanctions, except in cases of Fraud as defined in Section 4 or Imminent Harm as defined in Section 4, where sanctions at any level may be applied directly:</w:t>
      </w:r>
    </w:p>
    <w:p w14:paraId="5C56E187" w14:textId="77777777" w:rsidR="002E7D0E" w:rsidRDefault="00000000">
      <w:pPr>
        <w:spacing w:before="80" w:after="80"/>
        <w:ind w:left="720"/>
        <w:jc w:val="both"/>
      </w:pPr>
      <w:r>
        <w:t>(1)  Level 1 — Enhanced Reporting: Requirement that the Covered Insurer submit quarterly compliance reports to the FTC and the applicable state regulator for a period of up to two (2) years.</w:t>
      </w:r>
    </w:p>
    <w:p w14:paraId="5C56E188" w14:textId="77777777" w:rsidR="002E7D0E" w:rsidRDefault="00000000">
      <w:pPr>
        <w:spacing w:before="80" w:after="80"/>
        <w:ind w:left="720"/>
        <w:jc w:val="both"/>
      </w:pPr>
      <w:r>
        <w:t>(2)  Level 2 — Compliance Monitor: Appointment of an independent compliance monitor, at the insurer's expense, to assess and report on actuarial methodology and disclosure compliance. The monitor shall be jointly selected by the FTC and the applicable state regulator.</w:t>
      </w:r>
    </w:p>
    <w:p w14:paraId="5C56E189" w14:textId="77777777" w:rsidR="002E7D0E" w:rsidRDefault="00000000">
      <w:pPr>
        <w:spacing w:before="80" w:after="80"/>
        <w:ind w:left="720"/>
        <w:jc w:val="both"/>
      </w:pPr>
      <w:r>
        <w:t>(3)  Level 3 — Financial Penalty: Civil monetary penalties of up to one percent (1%) of the Covered Insurer's annual premium revenue from Federally Connected Insurance Products in the affected program. Penalties shall be proportionate to the severity, duration, and scope of the violation.</w:t>
      </w:r>
    </w:p>
    <w:p w14:paraId="5C56E18A" w14:textId="77777777" w:rsidR="002E7D0E" w:rsidRDefault="00000000">
      <w:pPr>
        <w:spacing w:before="80" w:after="80"/>
        <w:ind w:left="720"/>
        <w:jc w:val="both"/>
      </w:pPr>
      <w:r>
        <w:t>(4)  Level 4 — Temporary Suspension: Temporary suspension, not to exceed ninety (90) days, of the Covered Insurer's eligibility to enroll new policyholders in the applicable federally backed program, while existing policyholders remain covered.</w:t>
      </w:r>
    </w:p>
    <w:p w14:paraId="5C56E18B" w14:textId="77777777" w:rsidR="002E7D0E" w:rsidRDefault="00000000">
      <w:pPr>
        <w:spacing w:before="80" w:after="80"/>
        <w:ind w:left="720"/>
        <w:jc w:val="both"/>
      </w:pPr>
      <w:r>
        <w:t>(5)  Level 5 — Disqualification: Disqualification from participation in the applicable federally backed program until compliance is achieved. Disqualification actions seeking to remove existing policyholders from coverage require prior judicial approval.</w:t>
      </w:r>
    </w:p>
    <w:p w14:paraId="5C56E18C" w14:textId="77777777" w:rsidR="002E7D0E" w:rsidRDefault="00000000">
      <w:pPr>
        <w:spacing w:before="80" w:after="80"/>
        <w:jc w:val="both"/>
      </w:pPr>
      <w:r>
        <w:t>No Level 5 disqualification action shall be initiated without FTC Commissioner-level approval (non-delegable to staff), a documented market-impact assessment prepared in coordination with FIO, and a written determination that the violation is willful and that lesser sanctions have been inadequate.</w:t>
      </w:r>
    </w:p>
    <w:p w14:paraId="5C56E18D" w14:textId="77777777" w:rsidR="002E7D0E" w:rsidRDefault="002E7D0E">
      <w:pPr>
        <w:spacing w:before="40" w:after="40"/>
      </w:pPr>
    </w:p>
    <w:p w14:paraId="5C56E18E" w14:textId="77777777" w:rsidR="002E7D0E" w:rsidRDefault="00000000">
      <w:pPr>
        <w:pStyle w:val="Heading2"/>
      </w:pPr>
      <w:r>
        <w:t>(f)  Small Insurer Safe Harbor</w:t>
      </w:r>
    </w:p>
    <w:p w14:paraId="5C56E18F" w14:textId="77777777" w:rsidR="002E7D0E" w:rsidRDefault="00000000">
      <w:pPr>
        <w:spacing w:before="80" w:after="80"/>
        <w:jc w:val="both"/>
      </w:pPr>
      <w:r>
        <w:t>A Covered Insurer that, in the most recent calendar year, collected less than $50,000,000 in total premium revenue from Federally Connected Insurance Products across all states shall be entitled to:</w:t>
      </w:r>
    </w:p>
    <w:p w14:paraId="5C56E190" w14:textId="77777777" w:rsidR="002E7D0E" w:rsidRDefault="00000000">
      <w:pPr>
        <w:spacing w:before="80" w:after="80"/>
        <w:ind w:left="720"/>
        <w:jc w:val="both"/>
      </w:pPr>
      <w:r>
        <w:t>(1)  For years one through three following the effective date of this Act: compliance with enhanced reporting obligations in lieu of full actuarial certification requirements, provided the insurer demonstrates reliance on state-approved rate filings that meet the minimum data requirements of Section 4;</w:t>
      </w:r>
    </w:p>
    <w:p w14:paraId="5C56E191" w14:textId="77777777" w:rsidR="002E7D0E" w:rsidRDefault="00000000">
      <w:pPr>
        <w:spacing w:before="80" w:after="80"/>
        <w:ind w:left="720"/>
        <w:jc w:val="both"/>
      </w:pPr>
      <w:r>
        <w:t>(2)  For years four and five: phased compliance with the full actuarial certification requirements, as specified by regulation.</w:t>
      </w:r>
    </w:p>
    <w:p w14:paraId="5C56E192" w14:textId="77777777" w:rsidR="002E7D0E" w:rsidRDefault="00000000">
      <w:pPr>
        <w:spacing w:before="80" w:after="80"/>
        <w:jc w:val="both"/>
      </w:pPr>
      <w:r>
        <w:t>The FTC may adjust the premium threshold of this subsection by regulation following notice-and-comment rulemaking, based on market evidence, provided the adjusted threshold shall not be less than $25,000,000 or greater than $100,000,000.</w:t>
      </w:r>
    </w:p>
    <w:p w14:paraId="5C56E193" w14:textId="77777777" w:rsidR="002E7D0E" w:rsidRDefault="00000000">
      <w:pPr>
        <w:spacing w:before="80" w:after="80"/>
        <w:ind w:left="720"/>
        <w:jc w:val="both"/>
      </w:pPr>
      <w:r>
        <w:rPr>
          <w:b/>
          <w:bCs/>
          <w:i/>
          <w:iCs/>
          <w:color w:val="7B2D00"/>
          <w:sz w:val="20"/>
          <w:szCs w:val="20"/>
        </w:rPr>
        <w:t xml:space="preserve">[DRAFTING NOTE: </w:t>
      </w:r>
      <w:r>
        <w:rPr>
          <w:i/>
          <w:iCs/>
          <w:color w:val="7B2D00"/>
          <w:sz w:val="20"/>
          <w:szCs w:val="20"/>
        </w:rPr>
        <w:t>In markets already experiencing insurer withdrawal (Florida, California, Louisiana), adding compliance costs without a small-insurer accommodation could accelerate exit by regional and specialty carriers — the insurers most likely to serve rural or underserved markets. This safe harbor is designed to prevent the bill from inadvertently reducing competition in the markets it is intended to protect.]</w:t>
      </w:r>
    </w:p>
    <w:p w14:paraId="5C56E194" w14:textId="77777777" w:rsidR="002E7D0E" w:rsidRDefault="002E7D0E">
      <w:pPr>
        <w:spacing w:before="40" w:after="40"/>
      </w:pPr>
    </w:p>
    <w:p w14:paraId="5C56E195" w14:textId="77777777" w:rsidR="002E7D0E" w:rsidRDefault="00000000">
      <w:pPr>
        <w:pStyle w:val="Heading2"/>
      </w:pPr>
      <w:r>
        <w:t>(g)  Due Process</w:t>
      </w:r>
    </w:p>
    <w:p w14:paraId="5C56E196" w14:textId="77777777" w:rsidR="002E7D0E" w:rsidRDefault="00000000">
      <w:pPr>
        <w:spacing w:before="80" w:after="80"/>
        <w:jc w:val="both"/>
      </w:pPr>
      <w:r>
        <w:t>Except in cases of Fraud or Imminent Harm as defined in Section 4:</w:t>
      </w:r>
    </w:p>
    <w:p w14:paraId="5C56E197" w14:textId="77777777" w:rsidR="002E7D0E" w:rsidRDefault="00000000">
      <w:pPr>
        <w:spacing w:before="80" w:after="80"/>
        <w:ind w:left="720"/>
        <w:jc w:val="both"/>
      </w:pPr>
      <w:r>
        <w:t>(1)  Covered Insurers shall receive written notice of alleged violations, specifying the section alleged to have been violated, the factual basis for the allegation, and the level of sanction being considered;</w:t>
      </w:r>
    </w:p>
    <w:p w14:paraId="5C56E198" w14:textId="77777777" w:rsidR="002E7D0E" w:rsidRDefault="00000000">
      <w:pPr>
        <w:spacing w:before="80" w:after="80"/>
        <w:ind w:left="720"/>
        <w:jc w:val="both"/>
      </w:pPr>
      <w:r>
        <w:t>(2)  Covered Insurers shall have a minimum sixty (60) calendar day opportunity to cure the alleged violation before any enforcement action beyond Level 1 sanctions is imposed;</w:t>
      </w:r>
    </w:p>
    <w:p w14:paraId="5C56E199" w14:textId="77777777" w:rsidR="002E7D0E" w:rsidRDefault="00000000">
      <w:pPr>
        <w:spacing w:before="80" w:after="80"/>
        <w:ind w:left="720"/>
        <w:jc w:val="both"/>
      </w:pPr>
      <w:r>
        <w:t>(3)  All enforcement actions at Level 3 or above are subject to administrative review before an FTC Administrative Law Judge, and thereafter to judicial review in the United States Court of Appeals for the District of Columbia Circuit or the circuit in which the Covered Insurer's principal place of business is located, at the insurer's election.</w:t>
      </w:r>
    </w:p>
    <w:p w14:paraId="5C56E19A" w14:textId="77777777" w:rsidR="002E7D0E" w:rsidRDefault="002E7D0E">
      <w:pPr>
        <w:spacing w:before="40" w:after="40"/>
      </w:pPr>
    </w:p>
    <w:p w14:paraId="5C56E19B" w14:textId="77777777" w:rsidR="002E7D0E" w:rsidRDefault="00000000">
      <w:pPr>
        <w:pStyle w:val="Heading2"/>
      </w:pPr>
      <w:r>
        <w:t>(h)  FHFA Coordination</w:t>
      </w:r>
    </w:p>
    <w:p w14:paraId="5C56E19C" w14:textId="77777777" w:rsidR="002E7D0E" w:rsidRDefault="00000000">
      <w:pPr>
        <w:spacing w:before="80" w:after="80"/>
        <w:jc w:val="both"/>
      </w:pPr>
      <w:r>
        <w:t>Because Fannie Mae and Freddie Mac remain in federal conservatorship under the oversight of the Federal Housing Finance Agency (FHFA), the FTC shall, prior to initiating any enforcement action affecting a Covered Insurer providing mortgage insurance or homeowners insurance subject to GSE requirements:</w:t>
      </w:r>
    </w:p>
    <w:p w14:paraId="5C56E19D" w14:textId="77777777" w:rsidR="002E7D0E" w:rsidRDefault="00000000">
      <w:pPr>
        <w:spacing w:before="80" w:after="80"/>
        <w:ind w:left="720"/>
        <w:jc w:val="both"/>
      </w:pPr>
      <w:r>
        <w:t>(1)  Provide the FHFA with written notice of the proposed action;</w:t>
      </w:r>
    </w:p>
    <w:p w14:paraId="5C56E19E" w14:textId="77777777" w:rsidR="002E7D0E" w:rsidRDefault="00000000">
      <w:pPr>
        <w:spacing w:before="80" w:after="80"/>
        <w:ind w:left="720"/>
        <w:jc w:val="both"/>
      </w:pPr>
      <w:r>
        <w:t>(2)  Allow thirty (30) days for FHFA to assess the action's potential impact on GSE Seller/Servicer Guide requirements and the conservatorship; and</w:t>
      </w:r>
    </w:p>
    <w:p w14:paraId="5C56E19F" w14:textId="77777777" w:rsidR="002E7D0E" w:rsidRDefault="00000000">
      <w:pPr>
        <w:spacing w:before="80" w:after="80"/>
        <w:ind w:left="720"/>
        <w:jc w:val="both"/>
      </w:pPr>
      <w:r>
        <w:t>(3)  Consult with FHFA to resolve any conflict between this Act's enforcement mechanisms and existing FHFA conservatorship directives, GSE insurance eligibility requirements, or FHFA rulemaking authority.</w:t>
      </w:r>
    </w:p>
    <w:p w14:paraId="5C56E1A0" w14:textId="77777777" w:rsidR="002E7D0E" w:rsidRDefault="002E7D0E">
      <w:pPr>
        <w:spacing w:before="40" w:after="40"/>
      </w:pPr>
    </w:p>
    <w:p w14:paraId="5C56E1A1" w14:textId="77777777" w:rsidR="002E7D0E" w:rsidRDefault="00000000">
      <w:pPr>
        <w:pStyle w:val="Heading2"/>
      </w:pPr>
      <w:r>
        <w:t>(</w:t>
      </w:r>
      <w:proofErr w:type="spellStart"/>
      <w:r>
        <w:t>i</w:t>
      </w:r>
      <w:proofErr w:type="spellEnd"/>
      <w:r>
        <w:t>)  HHS Coordination — Health Exchange Plans</w:t>
      </w:r>
    </w:p>
    <w:p w14:paraId="5C56E1A2" w14:textId="77777777" w:rsidR="002E7D0E" w:rsidRDefault="00000000">
      <w:pPr>
        <w:spacing w:before="80" w:after="80"/>
        <w:jc w:val="both"/>
      </w:pPr>
      <w:r>
        <w:t>The FTC shall not initiate any enforcement action against a health insurance issuer offering qualified health plans on a federal exchange within ninety (90) days before or during an open enrollment period as defined under 45 C.F.R. § 155.410, unless the alleged violation involves Fraud as defined in Section 4. Prior to initiating any enforcement action against an exchange plan issuer, the FTC shall notify the Department of Health and Human Services and allow thirty (30) days for HHS to assess the action's potential impact on exchange participation and plan availability.</w:t>
      </w:r>
    </w:p>
    <w:p w14:paraId="5C56E1A3" w14:textId="77777777" w:rsidR="002E7D0E" w:rsidRDefault="002E7D0E">
      <w:pPr>
        <w:spacing w:before="40" w:after="40"/>
      </w:pPr>
    </w:p>
    <w:p w14:paraId="5C56E1A4" w14:textId="77777777" w:rsidR="002E7D0E" w:rsidRDefault="00000000">
      <w:pPr>
        <w:pStyle w:val="Heading1"/>
      </w:pPr>
      <w:r>
        <w:t>Section 8.  Oversight, Reporting, and Transparency</w:t>
      </w:r>
    </w:p>
    <w:p w14:paraId="5C56E1A5" w14:textId="77777777" w:rsidR="002E7D0E" w:rsidRDefault="00000000">
      <w:pPr>
        <w:pStyle w:val="Heading2"/>
      </w:pPr>
      <w:r>
        <w:t>(a)  FTC Annual Report</w:t>
      </w:r>
    </w:p>
    <w:p w14:paraId="5C56E1A6" w14:textId="77777777" w:rsidR="002E7D0E" w:rsidRDefault="00000000">
      <w:pPr>
        <w:spacing w:before="80" w:after="80"/>
        <w:jc w:val="both"/>
      </w:pPr>
      <w:r>
        <w:t>The Federal Trade Commission, in coordination with FIO and state insurance regulators, shall publish an annual report on compliance and enforcement activities under this Act. The report shall include:</w:t>
      </w:r>
    </w:p>
    <w:p w14:paraId="5C56E1A7" w14:textId="77777777" w:rsidR="002E7D0E" w:rsidRDefault="00000000">
      <w:pPr>
        <w:spacing w:before="80" w:after="80"/>
        <w:ind w:left="720"/>
        <w:jc w:val="both"/>
      </w:pPr>
      <w:r>
        <w:lastRenderedPageBreak/>
        <w:t>(1)  The number and nature of compliance inquiries, investigations, and enforcement actions initiated;</w:t>
      </w:r>
    </w:p>
    <w:p w14:paraId="5C56E1A8" w14:textId="77777777" w:rsidR="002E7D0E" w:rsidRDefault="00000000">
      <w:pPr>
        <w:spacing w:before="80" w:after="80"/>
        <w:ind w:left="720"/>
        <w:jc w:val="both"/>
      </w:pPr>
      <w:r>
        <w:t>(2)  A geographic breakdown of enforcement actions by state and covered program type;</w:t>
      </w:r>
    </w:p>
    <w:p w14:paraId="5C56E1A9" w14:textId="77777777" w:rsidR="002E7D0E" w:rsidRDefault="00000000">
      <w:pPr>
        <w:spacing w:before="80" w:after="80"/>
        <w:ind w:left="720"/>
        <w:jc w:val="both"/>
      </w:pPr>
      <w:r>
        <w:t>(3)  A comparative analysis of enforcement rates across covered markets, including a narrative explanation of any significant disparities;</w:t>
      </w:r>
    </w:p>
    <w:p w14:paraId="5C56E1AA" w14:textId="77777777" w:rsidR="002E7D0E" w:rsidRDefault="00000000">
      <w:pPr>
        <w:spacing w:before="80" w:after="80"/>
        <w:ind w:left="720"/>
        <w:jc w:val="both"/>
      </w:pPr>
      <w:r>
        <w:t>(4)  A certification, signed by the Chair of the FTC, that enforcement priorities were established pursuant to objective, documented criteria and were not influenced by geographic, political, or sector-specific considerations extraneous to the program-integrity purposes of this Act;</w:t>
      </w:r>
    </w:p>
    <w:p w14:paraId="5C56E1AB" w14:textId="77777777" w:rsidR="002E7D0E" w:rsidRDefault="00000000">
      <w:pPr>
        <w:spacing w:before="80" w:after="80"/>
        <w:ind w:left="720"/>
        <w:jc w:val="both"/>
      </w:pPr>
      <w:r>
        <w:t>(5)  A summary of any state regulatory capacity assessments conducted pursuant to Section 8(b); and</w:t>
      </w:r>
    </w:p>
    <w:p w14:paraId="5C56E1AC" w14:textId="77777777" w:rsidR="002E7D0E" w:rsidRDefault="00000000">
      <w:pPr>
        <w:spacing w:before="80" w:after="80"/>
        <w:ind w:left="720"/>
        <w:jc w:val="both"/>
      </w:pPr>
      <w:r>
        <w:t>(6)  A summary of any FIO market-monitoring findings under Section 7(b)(2) relevant to enforcement prioritization.</w:t>
      </w:r>
    </w:p>
    <w:p w14:paraId="5C56E1AD" w14:textId="77777777" w:rsidR="002E7D0E" w:rsidRDefault="002E7D0E">
      <w:pPr>
        <w:spacing w:before="40" w:after="40"/>
      </w:pPr>
    </w:p>
    <w:p w14:paraId="5C56E1AE" w14:textId="77777777" w:rsidR="002E7D0E" w:rsidRDefault="00000000">
      <w:pPr>
        <w:pStyle w:val="Heading2"/>
      </w:pPr>
      <w:r>
        <w:t>(b)  State Regulatory Capacity Assessment</w:t>
      </w:r>
    </w:p>
    <w:p w14:paraId="5C56E1AF" w14:textId="77777777" w:rsidR="002E7D0E" w:rsidRDefault="00000000">
      <w:pPr>
        <w:spacing w:before="80" w:after="80"/>
        <w:jc w:val="both"/>
      </w:pPr>
      <w:r>
        <w:t>The FTC, in coordination with FIO, shall include in each annual report an assessment of whether each state's insurance regulatory process for rate filings involving Federally Connected Insurance Products meets the following minimum procedural requirements:</w:t>
      </w:r>
    </w:p>
    <w:p w14:paraId="5C56E1B0" w14:textId="77777777" w:rsidR="002E7D0E" w:rsidRDefault="00000000">
      <w:pPr>
        <w:spacing w:before="80" w:after="80"/>
        <w:ind w:left="720"/>
        <w:jc w:val="both"/>
      </w:pPr>
      <w:r>
        <w:t>(1)  Publication of rate filing materials in a publicly accessible format;</w:t>
      </w:r>
    </w:p>
    <w:p w14:paraId="5C56E1B1" w14:textId="77777777" w:rsidR="002E7D0E" w:rsidRDefault="00000000">
      <w:pPr>
        <w:spacing w:before="80" w:after="80"/>
        <w:ind w:left="720"/>
        <w:jc w:val="both"/>
      </w:pPr>
      <w:r>
        <w:t>(2)  Opportunity for public comment on rate filings above a threshold established by regulation;</w:t>
      </w:r>
    </w:p>
    <w:p w14:paraId="5C56E1B2" w14:textId="77777777" w:rsidR="002E7D0E" w:rsidRDefault="00000000">
      <w:pPr>
        <w:spacing w:before="80" w:after="80"/>
        <w:ind w:left="720"/>
        <w:jc w:val="both"/>
      </w:pPr>
      <w:r>
        <w:t>(3)  Written actuarial review by state regulatory staff or independent actuarial contractors;</w:t>
      </w:r>
    </w:p>
    <w:p w14:paraId="5C56E1B3" w14:textId="77777777" w:rsidR="002E7D0E" w:rsidRDefault="00000000">
      <w:pPr>
        <w:spacing w:before="80" w:after="80"/>
        <w:ind w:left="720"/>
        <w:jc w:val="both"/>
      </w:pPr>
      <w:r>
        <w:t>(4)  A documented, written basis for rate approval decisions.</w:t>
      </w:r>
    </w:p>
    <w:p w14:paraId="5C56E1B4" w14:textId="77777777" w:rsidR="002E7D0E" w:rsidRDefault="00000000">
      <w:pPr>
        <w:spacing w:before="80" w:after="80"/>
        <w:jc w:val="both"/>
      </w:pPr>
      <w:r>
        <w:t>Where the FTC finds, following consultation with the applicable state regulator, that a state's regulatory process materially fails to meet the minimum procedural requirements of this subsection, the safe harbor established in Section 5(e) shall be suspended with respect to rate filings in that state for the following calendar year, and the FTC shall notify the state regulator of the specific deficiencies identified. The safe harbor suspension shall be lifted upon the state regulator's demonstration of corrective measures.</w:t>
      </w:r>
    </w:p>
    <w:p w14:paraId="5C56E1B5" w14:textId="77777777" w:rsidR="002E7D0E" w:rsidRDefault="00000000">
      <w:pPr>
        <w:spacing w:before="80" w:after="80"/>
        <w:ind w:left="720"/>
        <w:jc w:val="both"/>
      </w:pPr>
      <w:r>
        <w:rPr>
          <w:b/>
          <w:bCs/>
          <w:i/>
          <w:iCs/>
          <w:color w:val="7B2D00"/>
          <w:sz w:val="20"/>
          <w:szCs w:val="20"/>
        </w:rPr>
        <w:t xml:space="preserve">[DRAFTING NOTE: </w:t>
      </w:r>
      <w:r>
        <w:rPr>
          <w:i/>
          <w:iCs/>
          <w:color w:val="7B2D00"/>
          <w:sz w:val="20"/>
          <w:szCs w:val="20"/>
        </w:rPr>
        <w:t>This provision prevents the safe harbor from becoming a mechanism for deficient state oversight in low-capacity states while preserving federalism and providing a clear path to compliance.]</w:t>
      </w:r>
    </w:p>
    <w:p w14:paraId="5C56E1B6" w14:textId="77777777" w:rsidR="002E7D0E" w:rsidRDefault="002E7D0E">
      <w:pPr>
        <w:spacing w:before="40" w:after="40"/>
      </w:pPr>
    </w:p>
    <w:p w14:paraId="5C56E1B7" w14:textId="77777777" w:rsidR="002E7D0E" w:rsidRDefault="00000000">
      <w:pPr>
        <w:pStyle w:val="Heading2"/>
      </w:pPr>
      <w:r>
        <w:t>(c)  Inspector General Review</w:t>
      </w:r>
    </w:p>
    <w:p w14:paraId="5C56E1B8" w14:textId="77777777" w:rsidR="002E7D0E" w:rsidRDefault="00000000">
      <w:pPr>
        <w:spacing w:before="80" w:after="80"/>
        <w:jc w:val="both"/>
      </w:pPr>
      <w:r>
        <w:t>The Inspector General of the Federal Trade Commission shall conduct biennial audits of federal enforcement activities under this Act, including:</w:t>
      </w:r>
    </w:p>
    <w:p w14:paraId="5C56E1B9" w14:textId="77777777" w:rsidR="002E7D0E" w:rsidRDefault="00000000">
      <w:pPr>
        <w:spacing w:before="80" w:after="80"/>
        <w:ind w:left="720"/>
        <w:jc w:val="both"/>
      </w:pPr>
      <w:r>
        <w:t>(1)  Compliance with due process requirements of Section 7(g);</w:t>
      </w:r>
    </w:p>
    <w:p w14:paraId="5C56E1BA" w14:textId="77777777" w:rsidR="002E7D0E" w:rsidRDefault="00000000">
      <w:pPr>
        <w:spacing w:before="80" w:after="80"/>
        <w:ind w:left="720"/>
        <w:jc w:val="both"/>
      </w:pPr>
      <w:r>
        <w:t>(2)  Compliance with the graduated sanction requirements of Section 7(e);</w:t>
      </w:r>
    </w:p>
    <w:p w14:paraId="5C56E1BB" w14:textId="77777777" w:rsidR="002E7D0E" w:rsidRDefault="00000000">
      <w:pPr>
        <w:spacing w:before="80" w:after="80"/>
        <w:ind w:left="720"/>
        <w:jc w:val="both"/>
      </w:pPr>
      <w:r>
        <w:t>(3)  Compliance with the geographic neutrality certification required by Section 8(a)(4);</w:t>
      </w:r>
    </w:p>
    <w:p w14:paraId="5C56E1BC" w14:textId="77777777" w:rsidR="002E7D0E" w:rsidRDefault="00000000">
      <w:pPr>
        <w:spacing w:before="80" w:after="80"/>
        <w:ind w:left="720"/>
        <w:jc w:val="both"/>
      </w:pPr>
      <w:r>
        <w:t>(4)  Accuracy and completeness of annual reporting required by Section 8(a);</w:t>
      </w:r>
    </w:p>
    <w:p w14:paraId="5C56E1BD" w14:textId="77777777" w:rsidR="002E7D0E" w:rsidRDefault="00000000">
      <w:pPr>
        <w:spacing w:before="80" w:after="80"/>
        <w:ind w:left="720"/>
        <w:jc w:val="both"/>
      </w:pPr>
      <w:r>
        <w:t>(5)  Compliance with small insurer safe harbor provisions of Section 7(f).</w:t>
      </w:r>
    </w:p>
    <w:p w14:paraId="5C56E1BE" w14:textId="77777777" w:rsidR="002E7D0E" w:rsidRDefault="00000000">
      <w:pPr>
        <w:spacing w:before="80" w:after="80"/>
        <w:jc w:val="both"/>
      </w:pPr>
      <w:r>
        <w:t>The Inspector General shall submit audit reports to Congress and make them publicly available.</w:t>
      </w:r>
    </w:p>
    <w:p w14:paraId="5C56E1BF" w14:textId="77777777" w:rsidR="002E7D0E" w:rsidRDefault="002E7D0E">
      <w:pPr>
        <w:spacing w:before="40" w:after="40"/>
      </w:pPr>
    </w:p>
    <w:p w14:paraId="5C56E1C0" w14:textId="77777777" w:rsidR="002E7D0E" w:rsidRDefault="00000000">
      <w:pPr>
        <w:pStyle w:val="Heading2"/>
      </w:pPr>
      <w:r>
        <w:t>(d)  Congressional Notification</w:t>
      </w:r>
    </w:p>
    <w:p w14:paraId="5C56E1C1" w14:textId="77777777" w:rsidR="002E7D0E" w:rsidRDefault="00000000">
      <w:pPr>
        <w:spacing w:before="80" w:after="80"/>
        <w:jc w:val="both"/>
      </w:pPr>
      <w:r>
        <w:t>The FTC shall notify the Chairman and Ranking Member of the Senate Committee on Commerce, Science, and Transportation and the Chairman and Ranking Member of the House Committee on Energy and Commerce within thirty (30) days of initiating any Level 4 or Level 5 enforcement action under Section 7(e).</w:t>
      </w:r>
    </w:p>
    <w:p w14:paraId="5C56E1C2" w14:textId="77777777" w:rsidR="002E7D0E" w:rsidRDefault="002E7D0E">
      <w:pPr>
        <w:spacing w:before="40" w:after="40"/>
      </w:pPr>
    </w:p>
    <w:p w14:paraId="5C56E1C3" w14:textId="77777777" w:rsidR="002E7D0E" w:rsidRDefault="00000000">
      <w:pPr>
        <w:pStyle w:val="Heading1"/>
      </w:pPr>
      <w:r>
        <w:t>Section 9.  Authorization of Appropriations and Funding Mechanism</w:t>
      </w:r>
    </w:p>
    <w:p w14:paraId="5C56E1C4" w14:textId="77777777" w:rsidR="002E7D0E" w:rsidRDefault="00000000">
      <w:pPr>
        <w:pStyle w:val="Heading2"/>
      </w:pPr>
      <w:r>
        <w:t>(a)  Authorization</w:t>
      </w:r>
    </w:p>
    <w:p w14:paraId="5C56E1C5" w14:textId="77777777" w:rsidR="002E7D0E" w:rsidRDefault="00000000">
      <w:pPr>
        <w:spacing w:before="80" w:after="80"/>
        <w:jc w:val="both"/>
      </w:pPr>
      <w:r>
        <w:t>There is authorized to be appropriated $50,000,000 for fiscal years 2028 through 2032, to carry out this Act, available in annual amounts not to exceed $10,000,000 per fiscal year. Of amounts appropriated:</w:t>
      </w:r>
    </w:p>
    <w:p w14:paraId="5C56E1C6" w14:textId="77777777" w:rsidR="002E7D0E" w:rsidRDefault="00000000">
      <w:pPr>
        <w:spacing w:before="80" w:after="80"/>
        <w:ind w:left="720"/>
        <w:jc w:val="both"/>
      </w:pPr>
      <w:r>
        <w:t>(1)  Not more than eight percent (8%) may be used for administrative expenses;</w:t>
      </w:r>
    </w:p>
    <w:p w14:paraId="5C56E1C7" w14:textId="77777777" w:rsidR="002E7D0E" w:rsidRDefault="00000000">
      <w:pPr>
        <w:spacing w:before="80" w:after="80"/>
        <w:ind w:left="720"/>
        <w:jc w:val="both"/>
      </w:pPr>
      <w:r>
        <w:t>(2)  Not less than thirty percent (30%) shall be allocated to FIO market-monitoring and actuarial assistance functions under Section 7(b);</w:t>
      </w:r>
    </w:p>
    <w:p w14:paraId="5C56E1C8" w14:textId="77777777" w:rsidR="002E7D0E" w:rsidRDefault="00000000">
      <w:pPr>
        <w:spacing w:before="80" w:after="80"/>
        <w:ind w:left="720"/>
        <w:jc w:val="both"/>
      </w:pPr>
      <w:r>
        <w:t>(3)  Not less than thirty percent (30%) shall be allocated to FTC enforcement operations, including data systems and technical staff;</w:t>
      </w:r>
    </w:p>
    <w:p w14:paraId="5C56E1C9" w14:textId="77777777" w:rsidR="002E7D0E" w:rsidRDefault="00000000">
      <w:pPr>
        <w:spacing w:before="80" w:after="80"/>
        <w:ind w:left="720"/>
        <w:jc w:val="both"/>
      </w:pPr>
      <w:r>
        <w:t>(4)  Not more than fifteen percent (15%) shall be allocated to state regulatory coordination, including information-sharing infrastructure and technical assistance grants to state insurance departments.</w:t>
      </w:r>
    </w:p>
    <w:p w14:paraId="5C56E1CA" w14:textId="77777777" w:rsidR="002E7D0E" w:rsidRDefault="00000000">
      <w:pPr>
        <w:spacing w:before="80" w:after="80"/>
        <w:jc w:val="both"/>
      </w:pPr>
      <w:r>
        <w:t>Funds appropriated under this Act shall supplement, not supplant, existing FTC and FIO base appropriations and shall not be used to replace or reduce state insurance regulatory resources.</w:t>
      </w:r>
    </w:p>
    <w:p w14:paraId="5C56E1CB" w14:textId="77777777" w:rsidR="002E7D0E" w:rsidRDefault="002E7D0E">
      <w:pPr>
        <w:spacing w:before="40" w:after="40"/>
      </w:pPr>
    </w:p>
    <w:p w14:paraId="5C56E1CC" w14:textId="77777777" w:rsidR="002E7D0E" w:rsidRDefault="00000000">
      <w:pPr>
        <w:pStyle w:val="Heading2"/>
      </w:pPr>
      <w:r>
        <w:t>(b)  Self-Funding Mechanism</w:t>
      </w:r>
    </w:p>
    <w:p w14:paraId="5C56E1CD" w14:textId="77777777" w:rsidR="002E7D0E" w:rsidRDefault="00000000">
      <w:pPr>
        <w:spacing w:before="80" w:after="80"/>
        <w:jc w:val="both"/>
      </w:pPr>
      <w:r>
        <w:t>As an alternative or supplement to annual appropriations, the FTC, in consultation with FIO and the applicable federal program administrators, shall, within 24 months of enactment, submit to Congress a report evaluating the feasibility of a modest annual program-integrity assessment on Covered Insurers participating in federally backed programs, calculated as a percentage of annual premium revenue from Federally Connected Insurance Products. Such assessment, if proposed, shall require separate authorization by Congress.</w:t>
      </w:r>
    </w:p>
    <w:p w14:paraId="5C56E1CE" w14:textId="77777777" w:rsidR="002E7D0E" w:rsidRDefault="00000000">
      <w:pPr>
        <w:spacing w:before="80" w:after="80"/>
        <w:ind w:left="720"/>
        <w:jc w:val="both"/>
      </w:pPr>
      <w:r>
        <w:rPr>
          <w:b/>
          <w:bCs/>
          <w:i/>
          <w:iCs/>
          <w:color w:val="7B2D00"/>
          <w:sz w:val="20"/>
          <w:szCs w:val="20"/>
        </w:rPr>
        <w:t xml:space="preserve">[DRAFTING NOTE: </w:t>
      </w:r>
      <w:r>
        <w:rPr>
          <w:i/>
          <w:iCs/>
          <w:color w:val="7B2D00"/>
          <w:sz w:val="20"/>
          <w:szCs w:val="20"/>
        </w:rPr>
        <w:t>The $50M authorization (up from $25M) more accurately reflects realistic implementation costs: FTC insurance specialist staffing, FIO actuarial capacity, data infrastructure, and state coordination. The self-funding study does not create a fee without Congressional authorization but establishes a path to fiscal sustainability. PAYGO compliance depends on whether this is structured as discretionary or mandatory appropriation — counsel should consult with CBO at markup.]</w:t>
      </w:r>
    </w:p>
    <w:p w14:paraId="5C56E1CF" w14:textId="77777777" w:rsidR="002E7D0E" w:rsidRDefault="002E7D0E">
      <w:pPr>
        <w:spacing w:before="40" w:after="40"/>
      </w:pPr>
    </w:p>
    <w:p w14:paraId="5C56E1D0" w14:textId="77777777" w:rsidR="002E7D0E" w:rsidRDefault="00000000">
      <w:pPr>
        <w:pStyle w:val="Heading1"/>
      </w:pPr>
      <w:r>
        <w:t>Section 10.  Severability</w:t>
      </w:r>
    </w:p>
    <w:p w14:paraId="5C56E1D1" w14:textId="77777777" w:rsidR="002E7D0E" w:rsidRDefault="00000000">
      <w:pPr>
        <w:spacing w:before="80" w:after="80"/>
        <w:jc w:val="both"/>
      </w:pPr>
      <w:r>
        <w:t>If any provision of this Act, or any application thereof to any person, entity, state, or circumstance, is held invalid by a court of competent jurisdiction:</w:t>
      </w:r>
    </w:p>
    <w:p w14:paraId="5C56E1D2" w14:textId="77777777" w:rsidR="002E7D0E" w:rsidRDefault="00000000">
      <w:pPr>
        <w:spacing w:before="80" w:after="80"/>
        <w:ind w:left="720"/>
        <w:jc w:val="both"/>
      </w:pPr>
      <w:r>
        <w:lastRenderedPageBreak/>
        <w:t>(1)  The remainder of this Act, and the application of its provisions to all other persons, entities, states, and circumstances, shall not be affected by such holding;</w:t>
      </w:r>
    </w:p>
    <w:p w14:paraId="5C56E1D3" w14:textId="77777777" w:rsidR="002E7D0E" w:rsidRDefault="00000000">
      <w:pPr>
        <w:spacing w:before="80" w:after="80"/>
        <w:ind w:left="720"/>
        <w:jc w:val="both"/>
      </w:pPr>
      <w:r>
        <w:t>(2)  The constitutional authority basis applicable to remaining provisions shall be independently assessed, consistent with the enumeration in Section 2(a); and</w:t>
      </w:r>
    </w:p>
    <w:p w14:paraId="5C56E1D4" w14:textId="77777777" w:rsidR="002E7D0E" w:rsidRDefault="00000000">
      <w:pPr>
        <w:spacing w:before="80" w:after="80"/>
        <w:ind w:left="720"/>
        <w:jc w:val="both"/>
      </w:pPr>
      <w:r>
        <w:t>(3)  The invalidity of any provision resting on Spending Clause authority shall not affect the validity of any provision independently supported by Commerce Clause authority, and vice versa.</w:t>
      </w:r>
    </w:p>
    <w:p w14:paraId="5C56E1D5" w14:textId="77777777" w:rsidR="002E7D0E" w:rsidRDefault="002E7D0E">
      <w:pPr>
        <w:spacing w:before="40" w:after="40"/>
      </w:pPr>
    </w:p>
    <w:p w14:paraId="5C56E1D6" w14:textId="77777777" w:rsidR="002E7D0E" w:rsidRDefault="00000000">
      <w:pPr>
        <w:pStyle w:val="Heading1"/>
      </w:pPr>
      <w:r>
        <w:t>Section 11.  Effective Date and Phased Implementation</w:t>
      </w:r>
    </w:p>
    <w:p w14:paraId="5C56E1D7" w14:textId="77777777" w:rsidR="002E7D0E" w:rsidRDefault="00000000">
      <w:pPr>
        <w:pStyle w:val="Heading2"/>
      </w:pPr>
      <w:r>
        <w:t>(a)  Phased Implementation Schedule</w:t>
      </w:r>
    </w:p>
    <w:p w14:paraId="5C56E1D8" w14:textId="77777777" w:rsidR="002E7D0E" w:rsidRDefault="00000000">
      <w:pPr>
        <w:spacing w:before="80" w:after="80"/>
        <w:jc w:val="both"/>
      </w:pPr>
      <w:r>
        <w:t>This Act shall take effect according to the following schedule, measured from the date of enactment:</w:t>
      </w:r>
    </w:p>
    <w:p w14:paraId="5C56E1D9" w14:textId="77777777" w:rsidR="002E7D0E" w:rsidRDefault="00000000">
      <w:pPr>
        <w:spacing w:before="80" w:after="80"/>
        <w:ind w:left="720"/>
        <w:jc w:val="both"/>
      </w:pPr>
      <w:r>
        <w:t>(1)  Months 1–12: FIO baseline market assessment publication; FTC and FIO initiation of rulemaking required under this Act; stakeholder engagement with state insurance commissioners, NAIC, and covered industry participants;</w:t>
      </w:r>
    </w:p>
    <w:p w14:paraId="5C56E1DA" w14:textId="77777777" w:rsidR="002E7D0E" w:rsidRDefault="00000000">
      <w:pPr>
        <w:spacing w:before="80" w:after="80"/>
        <w:ind w:left="720"/>
        <w:jc w:val="both"/>
      </w:pPr>
      <w:r>
        <w:t>(2)  Month 18: Consumer disclosure requirements of Section 5(b) become operative for Covered Insurers;</w:t>
      </w:r>
    </w:p>
    <w:p w14:paraId="5C56E1DB" w14:textId="77777777" w:rsidR="002E7D0E" w:rsidRDefault="00000000">
      <w:pPr>
        <w:spacing w:before="80" w:after="80"/>
        <w:ind w:left="720"/>
        <w:jc w:val="both"/>
      </w:pPr>
      <w:r>
        <w:t>(3)  Month 18: FTC publishes model disclosure form pursuant to the note accompanying Section 5(b);</w:t>
      </w:r>
    </w:p>
    <w:p w14:paraId="5C56E1DC" w14:textId="77777777" w:rsidR="002E7D0E" w:rsidRDefault="00000000">
      <w:pPr>
        <w:spacing w:before="80" w:after="80"/>
        <w:ind w:left="720"/>
        <w:jc w:val="both"/>
      </w:pPr>
      <w:r>
        <w:t>(4)  Month 24: Actuarial certification requirements of Section 5(a), Cross-Regional Allocation Standards of Section 5(c), and Forward-Looking Risk Model disclosure requirements of Section 5(d) become operative;</w:t>
      </w:r>
    </w:p>
    <w:p w14:paraId="5C56E1DD" w14:textId="77777777" w:rsidR="002E7D0E" w:rsidRDefault="00000000">
      <w:pPr>
        <w:spacing w:before="80" w:after="80"/>
        <w:ind w:left="720"/>
        <w:jc w:val="both"/>
      </w:pPr>
      <w:r>
        <w:t>(5)  Month 24: FTC enforcement authority under Section 7(c) becomes operative, with Level 1 sanctions available;</w:t>
      </w:r>
    </w:p>
    <w:p w14:paraId="5C56E1DE" w14:textId="77777777" w:rsidR="002E7D0E" w:rsidRDefault="00000000">
      <w:pPr>
        <w:spacing w:before="80" w:after="80"/>
        <w:ind w:left="720"/>
        <w:jc w:val="both"/>
      </w:pPr>
      <w:r>
        <w:t>(6)  Month 30: Full graduated sanction authority under Section 7(e) becomes operative.</w:t>
      </w:r>
    </w:p>
    <w:p w14:paraId="5C56E1DF" w14:textId="77777777" w:rsidR="002E7D0E" w:rsidRDefault="002E7D0E">
      <w:pPr>
        <w:spacing w:before="40" w:after="40"/>
      </w:pPr>
    </w:p>
    <w:p w14:paraId="5C56E1E0" w14:textId="77777777" w:rsidR="002E7D0E" w:rsidRDefault="00000000">
      <w:pPr>
        <w:pStyle w:val="Heading2"/>
      </w:pPr>
      <w:r>
        <w:t>(b)  Rulemaking Priority</w:t>
      </w:r>
    </w:p>
    <w:p w14:paraId="5C56E1E1" w14:textId="77777777" w:rsidR="002E7D0E" w:rsidRDefault="00000000">
      <w:pPr>
        <w:spacing w:before="80" w:after="80"/>
        <w:jc w:val="both"/>
      </w:pPr>
      <w:r>
        <w:t>The FTC shall prioritize rulemaking under this Act in the following order: (1) consumer disclosure form and plain language standards; (2) small insurer safe harbor thresholds; (3) Cross-Regional Allocation materiality threshold; (4) graduated sanction procedural rules. Rulemaking shall be conducted pursuant to the notice-and-comment requirements of 5 U.S.C. § 553.</w:t>
      </w:r>
    </w:p>
    <w:p w14:paraId="5C56E1E2" w14:textId="77777777" w:rsidR="002E7D0E" w:rsidRDefault="002E7D0E">
      <w:pPr>
        <w:spacing w:before="40" w:after="40"/>
      </w:pPr>
    </w:p>
    <w:p w14:paraId="5C56E1E3" w14:textId="77777777" w:rsidR="002E7D0E" w:rsidRDefault="00000000">
      <w:pPr>
        <w:pStyle w:val="Heading2"/>
      </w:pPr>
      <w:r>
        <w:t>(c)  Market Disruption Review</w:t>
      </w:r>
    </w:p>
    <w:p w14:paraId="5C56E1E4" w14:textId="77777777" w:rsidR="002E7D0E" w:rsidRDefault="00000000">
      <w:pPr>
        <w:spacing w:before="80" w:after="80"/>
        <w:jc w:val="both"/>
      </w:pPr>
      <w:r>
        <w:t>Not later than six (6) months before the operative date for each phase specified in Section 11(a), FIO shall publish a market-disruption assessment evaluating whether implementation on schedule is likely to cause significant insurer withdrawal from covered markets. If FIO determines that significant market disruption is likely, the FTC may, by published order, defer the applicable implementation date by up to six (6) months, with a written explanation. No provision of this Act shall be deferred more than once under this subsection.</w:t>
      </w:r>
    </w:p>
    <w:p w14:paraId="5C56E1E5" w14:textId="77777777" w:rsidR="002E7D0E" w:rsidRDefault="002E7D0E">
      <w:pPr>
        <w:spacing w:before="40" w:after="40"/>
      </w:pPr>
    </w:p>
    <w:p w14:paraId="5C56E1E6" w14:textId="77777777" w:rsidR="002E7D0E" w:rsidRDefault="00000000">
      <w:pPr>
        <w:pageBreakBefore/>
        <w:spacing w:before="240" w:after="240"/>
      </w:pPr>
      <w:r>
        <w:rPr>
          <w:b/>
          <w:bCs/>
          <w:sz w:val="26"/>
          <w:szCs w:val="26"/>
        </w:rPr>
        <w:lastRenderedPageBreak/>
        <w:t>APPENDIX: Summary of Changes from Original Draft</w:t>
      </w:r>
    </w:p>
    <w:p w14:paraId="5C56E1E7" w14:textId="77777777" w:rsidR="002E7D0E" w:rsidRDefault="002E7D0E">
      <w:pPr>
        <w:spacing w:before="40" w:after="40"/>
      </w:pPr>
    </w:p>
    <w:p w14:paraId="5C56E1E8" w14:textId="77777777" w:rsidR="002E7D0E" w:rsidRDefault="00000000">
      <w:pPr>
        <w:spacing w:before="80" w:after="80"/>
        <w:jc w:val="both"/>
      </w:pPr>
      <w:r>
        <w:t>The following table summarizes the primary revisions made to the original draft and the justification for each change. This appendix is intended as a working reference for legislative discussions and is not operative text.</w:t>
      </w:r>
    </w:p>
    <w:p w14:paraId="5C56E1E9" w14:textId="77777777" w:rsidR="002E7D0E" w:rsidRDefault="002E7D0E">
      <w:pPr>
        <w:spacing w:before="40" w:after="40"/>
      </w:pPr>
    </w:p>
    <w:p w14:paraId="5C56E1EA" w14:textId="77777777" w:rsidR="002E7D0E" w:rsidRDefault="00000000">
      <w:pPr>
        <w:spacing w:before="100" w:after="60"/>
      </w:pPr>
      <w:r>
        <w:rPr>
          <w:b/>
          <w:bCs/>
          <w:color w:val="7B0000"/>
        </w:rPr>
        <w:t>TIER 1 CHANGES — Constitutional / Structural (Must Fix)</w:t>
      </w:r>
    </w:p>
    <w:p w14:paraId="5C56E1EB" w14:textId="77777777" w:rsidR="002E7D0E" w:rsidRDefault="002E7D0E">
      <w:pPr>
        <w:spacing w:before="40" w:after="40"/>
      </w:pPr>
    </w:p>
    <w:p w14:paraId="5C56E1EC" w14:textId="77777777" w:rsidR="002E7D0E" w:rsidRDefault="00000000">
      <w:pPr>
        <w:spacing w:before="80" w:after="80"/>
        <w:jc w:val="both"/>
      </w:pPr>
      <w:r>
        <w:t>1.  REMOVED Section 3(a)(iii) — Open-Ended Regulatory Expansion. Original provision delegated to executive branch the authority to expand scope of the Act to additional federal programs by regulation. Removed due to major questions doctrine vulnerability under West Virginia v. EPA (2022). Replaced with Section 3(c) limiting future expansion to Acts of Congress.</w:t>
      </w:r>
    </w:p>
    <w:p w14:paraId="5C56E1ED" w14:textId="77777777" w:rsidR="002E7D0E" w:rsidRDefault="002E7D0E">
      <w:pPr>
        <w:spacing w:before="40" w:after="40"/>
      </w:pPr>
    </w:p>
    <w:p w14:paraId="5C56E1EE" w14:textId="77777777" w:rsidR="002E7D0E" w:rsidRDefault="00000000">
      <w:pPr>
        <w:spacing w:before="80" w:after="80"/>
        <w:jc w:val="both"/>
      </w:pPr>
      <w:r>
        <w:t>2.  ADDED Section 3(e) — Explicit McCarran-Ferguson Limitation on FTC Authority. Original draft preserved state rate authority generally but did not expressly constrain FTC enforcement from impairing state insurance law under 15 U.S.C. § 1012(b). New provision expressly cabins FTC to program-integrity conditions and prohibits FTC actions that invalidate or supersede state insurance law.</w:t>
      </w:r>
    </w:p>
    <w:p w14:paraId="5C56E1EF" w14:textId="77777777" w:rsidR="002E7D0E" w:rsidRDefault="002E7D0E">
      <w:pPr>
        <w:spacing w:before="40" w:after="40"/>
      </w:pPr>
    </w:p>
    <w:p w14:paraId="5C56E1F0" w14:textId="77777777" w:rsidR="002E7D0E" w:rsidRDefault="00000000">
      <w:pPr>
        <w:spacing w:before="80" w:after="80"/>
        <w:jc w:val="both"/>
      </w:pPr>
      <w:r>
        <w:t>3.  DEFINED 'Imminent Harm' in Section 4. Original draft's exception to due process notice was undefined and subject to broad administrative construction. Definition now requires a 30-day articulable risk, specific factual findings, and senior official sign-off.</w:t>
      </w:r>
    </w:p>
    <w:p w14:paraId="5C56E1F1" w14:textId="77777777" w:rsidR="002E7D0E" w:rsidRDefault="002E7D0E">
      <w:pPr>
        <w:spacing w:before="40" w:after="40"/>
      </w:pPr>
    </w:p>
    <w:p w14:paraId="5C56E1F2" w14:textId="77777777" w:rsidR="002E7D0E" w:rsidRDefault="00000000">
      <w:pPr>
        <w:spacing w:before="80" w:after="80"/>
        <w:jc w:val="both"/>
      </w:pPr>
      <w:r>
        <w:t>4.  ADDED Section 3(d)(3) — Express No-Private-Right-of-Action Provision. Under Alexander v. Sandoval (2001), courts do not imply private rights absent congressional intent. Absence of this provision created implied-right litigation risk, particularly under Section 5(b).</w:t>
      </w:r>
    </w:p>
    <w:p w14:paraId="5C56E1F3" w14:textId="77777777" w:rsidR="002E7D0E" w:rsidRDefault="002E7D0E">
      <w:pPr>
        <w:spacing w:before="40" w:after="40"/>
      </w:pPr>
    </w:p>
    <w:p w14:paraId="5C56E1F4" w14:textId="77777777" w:rsidR="002E7D0E" w:rsidRDefault="00000000">
      <w:pPr>
        <w:spacing w:before="80" w:after="80"/>
        <w:jc w:val="both"/>
      </w:pPr>
      <w:r>
        <w:t>5.  ADDED Section 3(f) — ACA MLR Coordination. Original Section 6(b) created a parallel excess return standard for health exchange plans that conflicted with and duplicated the ACA Medical Loss Ratio rebate mechanism. Conflict resolved: ACA MLR compliance is per se compliance with Section 6(b) for exchange plans.</w:t>
      </w:r>
    </w:p>
    <w:p w14:paraId="5C56E1F5" w14:textId="77777777" w:rsidR="002E7D0E" w:rsidRDefault="002E7D0E">
      <w:pPr>
        <w:spacing w:before="40" w:after="40"/>
      </w:pPr>
    </w:p>
    <w:p w14:paraId="5C56E1F6" w14:textId="77777777" w:rsidR="002E7D0E" w:rsidRDefault="00000000">
      <w:pPr>
        <w:spacing w:before="100" w:after="60"/>
      </w:pPr>
      <w:r>
        <w:rPr>
          <w:b/>
          <w:bCs/>
          <w:color w:val="005500"/>
        </w:rPr>
        <w:t>TIER 2 CHANGES — Enforceability / Implementation (Should Fix)</w:t>
      </w:r>
    </w:p>
    <w:p w14:paraId="5C56E1F7" w14:textId="77777777" w:rsidR="002E7D0E" w:rsidRDefault="002E7D0E">
      <w:pPr>
        <w:spacing w:before="40" w:after="40"/>
      </w:pPr>
    </w:p>
    <w:p w14:paraId="5C56E1F8" w14:textId="77777777" w:rsidR="002E7D0E" w:rsidRDefault="00000000">
      <w:pPr>
        <w:spacing w:before="80" w:after="80"/>
        <w:jc w:val="both"/>
      </w:pPr>
      <w:r>
        <w:t>6.  DEFINED 'Qualified Actuary,' 'Cross-Regional Cost Allocation,' 'Material,' 'Plain Language,' 'Forward-Looking Risk Model,' 'Fraud,' and 'Imminent Harm' in Section 4. Original draft left these critical operational terms undefined or underspecified, creating enforcement vagueness and litigation risk.</w:t>
      </w:r>
    </w:p>
    <w:p w14:paraId="5C56E1F9" w14:textId="77777777" w:rsidR="002E7D0E" w:rsidRDefault="002E7D0E">
      <w:pPr>
        <w:spacing w:before="40" w:after="40"/>
      </w:pPr>
    </w:p>
    <w:p w14:paraId="5C56E1FA" w14:textId="77777777" w:rsidR="002E7D0E" w:rsidRDefault="00000000">
      <w:pPr>
        <w:spacing w:before="80" w:after="80"/>
        <w:jc w:val="both"/>
      </w:pPr>
      <w:r>
        <w:t>7.  ADDED Federal Floor for 'Actuarially Justified' Methodology in Section 4. Original definition deferred entirely to state approval, creating a circularity that rendered FTC enforcement theoretical. Revised definition ties 'Actuarially Justified' to Actuarial Standards Board standards of practice, giving FTC independent enforcement traction on methodology without rate-setting authority.</w:t>
      </w:r>
    </w:p>
    <w:p w14:paraId="5C56E1FB" w14:textId="77777777" w:rsidR="002E7D0E" w:rsidRDefault="002E7D0E">
      <w:pPr>
        <w:spacing w:before="40" w:after="40"/>
      </w:pPr>
    </w:p>
    <w:p w14:paraId="5C56E1FC" w14:textId="77777777" w:rsidR="002E7D0E" w:rsidRDefault="00000000">
      <w:pPr>
        <w:spacing w:before="80" w:after="80"/>
        <w:jc w:val="both"/>
      </w:pPr>
      <w:r>
        <w:t>8.  REVISED Section 6(a) — No-Claim Mandate Changed to Disclosure Obligation. Original provision mandated that insurers implement no-claim rating factors — a product design requirement that conflicts with state regulatory primacy and creates irreconcilable obligations when state regulators decline to approve such factors. Revised to disclosure obligation.</w:t>
      </w:r>
    </w:p>
    <w:p w14:paraId="5C56E1FD" w14:textId="77777777" w:rsidR="002E7D0E" w:rsidRDefault="002E7D0E">
      <w:pPr>
        <w:spacing w:before="40" w:after="40"/>
      </w:pPr>
    </w:p>
    <w:p w14:paraId="5C56E1FE" w14:textId="77777777" w:rsidR="002E7D0E" w:rsidRDefault="00000000">
      <w:pPr>
        <w:spacing w:before="80" w:after="80"/>
        <w:jc w:val="both"/>
      </w:pPr>
      <w:r>
        <w:t>9.  ADDED Section 7(e) — Graduated Sanction Structure. Original draft's binary enforcement mechanism (compliance or disqualification) made enforcement politically costly and likely under-used. New graduated structure with five levels: enhanced reporting, compliance monitor, financial penalties, temporary suspension, and disqualification as last resort.</w:t>
      </w:r>
    </w:p>
    <w:p w14:paraId="5C56E1FF" w14:textId="77777777" w:rsidR="002E7D0E" w:rsidRDefault="002E7D0E">
      <w:pPr>
        <w:spacing w:before="40" w:after="40"/>
      </w:pPr>
    </w:p>
    <w:p w14:paraId="5C56E200" w14:textId="77777777" w:rsidR="002E7D0E" w:rsidRDefault="00000000">
      <w:pPr>
        <w:spacing w:before="80" w:after="80"/>
        <w:jc w:val="both"/>
      </w:pPr>
      <w:r>
        <w:t>10.  ADDED Section 3(g) — Anti-Evasion Provision. Sophisticated insurers could restructure products to fall outside Section 3(a) coverage. Anti-evasion provision deems restructured products Covered Insurers and places burden of proof on the insurer.</w:t>
      </w:r>
    </w:p>
    <w:p w14:paraId="5C56E201" w14:textId="77777777" w:rsidR="002E7D0E" w:rsidRDefault="002E7D0E">
      <w:pPr>
        <w:spacing w:before="40" w:after="40"/>
      </w:pPr>
    </w:p>
    <w:p w14:paraId="5C56E202" w14:textId="77777777" w:rsidR="002E7D0E" w:rsidRDefault="00000000">
      <w:pPr>
        <w:spacing w:before="100" w:after="60"/>
      </w:pPr>
      <w:r>
        <w:rPr>
          <w:b/>
          <w:bCs/>
          <w:color w:val="003366"/>
        </w:rPr>
        <w:t>TIER 3 CHANGES — Political Viability / Durability (Strengthen)</w:t>
      </w:r>
    </w:p>
    <w:p w14:paraId="5C56E203" w14:textId="77777777" w:rsidR="002E7D0E" w:rsidRDefault="002E7D0E">
      <w:pPr>
        <w:spacing w:before="40" w:after="40"/>
      </w:pPr>
    </w:p>
    <w:p w14:paraId="5C56E204" w14:textId="77777777" w:rsidR="002E7D0E" w:rsidRDefault="00000000">
      <w:pPr>
        <w:spacing w:before="80" w:after="80"/>
        <w:jc w:val="both"/>
      </w:pPr>
      <w:r>
        <w:t>11.  INCREASED Authorization to $50M; ADDED Self-Funding Study (Section 9). Original $25M authorization was approximately 60–70% underfunded relative to realistic implementation costs. Increased to $50M over 5 years. Added a study mechanism for a self-funding program-integrity assessment, subject to separate Congressional authorization.</w:t>
      </w:r>
    </w:p>
    <w:p w14:paraId="5C56E205" w14:textId="77777777" w:rsidR="002E7D0E" w:rsidRDefault="002E7D0E">
      <w:pPr>
        <w:spacing w:before="40" w:after="40"/>
      </w:pPr>
    </w:p>
    <w:p w14:paraId="5C56E206" w14:textId="77777777" w:rsidR="002E7D0E" w:rsidRDefault="00000000">
      <w:pPr>
        <w:spacing w:before="80" w:after="80"/>
        <w:jc w:val="both"/>
      </w:pPr>
      <w:r>
        <w:t>12.  ADDED FIO Coordination Role (Section 7(b)). FTC has no actuarial capacity or insurance expertise. FIO has existing Dodd-Frank authority and institutional insurance knowledge. Routing actuarial analysis and market monitoring through FIO, with enforcement through FTC, aligns institutional competencies without creating new bureaucracy.</w:t>
      </w:r>
    </w:p>
    <w:p w14:paraId="5C56E207" w14:textId="77777777" w:rsidR="002E7D0E" w:rsidRDefault="002E7D0E">
      <w:pPr>
        <w:spacing w:before="40" w:after="40"/>
      </w:pPr>
    </w:p>
    <w:p w14:paraId="5C56E208" w14:textId="77777777" w:rsidR="002E7D0E" w:rsidRDefault="00000000">
      <w:pPr>
        <w:spacing w:before="80" w:after="80"/>
        <w:jc w:val="both"/>
      </w:pPr>
      <w:r>
        <w:t>13.  ADDED Small Insurer Safe Harbor (Section 7(f)). Without accommodation, compliance costs could accelerate insurer exit in high-risk markets. Safe harbor provides phased compliance for small and regional insurers below $50M in covered product premiums.</w:t>
      </w:r>
    </w:p>
    <w:p w14:paraId="5C56E209" w14:textId="77777777" w:rsidR="002E7D0E" w:rsidRDefault="002E7D0E">
      <w:pPr>
        <w:spacing w:before="40" w:after="40"/>
      </w:pPr>
    </w:p>
    <w:p w14:paraId="5C56E20A" w14:textId="77777777" w:rsidR="002E7D0E" w:rsidRDefault="00000000">
      <w:pPr>
        <w:spacing w:before="80" w:after="80"/>
        <w:jc w:val="both"/>
      </w:pPr>
      <w:r>
        <w:t>14.  ADDED FHFA Coordination Provision (Section 7(h)). Fannie Mae and Freddie Mac remain in FHFA conservatorship. Enforcement actions affecting GSE-required insurance products require FHFA coordination to avoid conflicting with conservatorship directives and GSE Seller/Servicer Guide requirements.</w:t>
      </w:r>
    </w:p>
    <w:p w14:paraId="5C56E20B" w14:textId="77777777" w:rsidR="002E7D0E" w:rsidRDefault="002E7D0E">
      <w:pPr>
        <w:spacing w:before="40" w:after="40"/>
      </w:pPr>
    </w:p>
    <w:p w14:paraId="5C56E20C" w14:textId="77777777" w:rsidR="002E7D0E" w:rsidRDefault="00000000">
      <w:pPr>
        <w:spacing w:before="80" w:after="80"/>
        <w:jc w:val="both"/>
      </w:pPr>
      <w:r>
        <w:t>15.  ADDED Forward-Looking Risk Model Disclosure Standards (Section 5(d)). The most acute transparency gap in current law is the absence of any disclosure or validation standard for proprietary forward-looking climate and catastrophe models used to justify premium increases in covered markets. New provision requires model category identification, ASOP No. 38 compliance certification, and state validation assessment — without requiring proprietary algorithm disclosure.</w:t>
      </w:r>
    </w:p>
    <w:p w14:paraId="5C56E20D" w14:textId="77777777" w:rsidR="002E7D0E" w:rsidRDefault="002E7D0E">
      <w:pPr>
        <w:spacing w:before="40" w:after="40"/>
      </w:pPr>
    </w:p>
    <w:p w14:paraId="5C56E20E" w14:textId="77777777" w:rsidR="002E7D0E" w:rsidRDefault="00000000">
      <w:pPr>
        <w:spacing w:before="360" w:after="120"/>
        <w:jc w:val="center"/>
      </w:pPr>
      <w:r>
        <w:rPr>
          <w:b/>
          <w:bCs/>
          <w:color w:val="555555"/>
        </w:rPr>
        <w:t>— END OF DRAFT —</w:t>
      </w:r>
    </w:p>
    <w:sectPr w:rsidR="002E7D0E">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704C" w14:textId="77777777" w:rsidR="00243FC0" w:rsidRDefault="00243FC0">
      <w:r>
        <w:separator/>
      </w:r>
    </w:p>
  </w:endnote>
  <w:endnote w:type="continuationSeparator" w:id="0">
    <w:p w14:paraId="47643C2D" w14:textId="77777777" w:rsidR="00243FC0" w:rsidRDefault="0024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E210" w14:textId="13F391D3" w:rsidR="002E7D0E" w:rsidRDefault="00000000">
    <w:pPr>
      <w:pBdr>
        <w:top w:val="single" w:sz="4" w:space="6" w:color="1F3864"/>
      </w:pBdr>
      <w:jc w:val="center"/>
    </w:pPr>
    <w:r>
      <w:rPr>
        <w:color w:val="555555"/>
        <w:sz w:val="18"/>
        <w:szCs w:val="18"/>
      </w:rPr>
      <w:t xml:space="preserve">Working Draft | Legislative Counsel Revised Version | Page </w:t>
    </w:r>
    <w:r>
      <w:rPr>
        <w:color w:val="555555"/>
        <w:sz w:val="18"/>
        <w:szCs w:val="18"/>
      </w:rPr>
      <w:fldChar w:fldCharType="begin"/>
    </w:r>
    <w:r>
      <w:rPr>
        <w:color w:val="555555"/>
        <w:sz w:val="18"/>
        <w:szCs w:val="18"/>
      </w:rPr>
      <w:instrText>PAGE</w:instrText>
    </w:r>
    <w:r>
      <w:rPr>
        <w:color w:val="555555"/>
        <w:sz w:val="18"/>
        <w:szCs w:val="18"/>
      </w:rPr>
      <w:fldChar w:fldCharType="separate"/>
    </w:r>
    <w:r w:rsidR="002C3567">
      <w:rPr>
        <w:noProof/>
        <w:color w:val="555555"/>
        <w:sz w:val="18"/>
        <w:szCs w:val="18"/>
      </w:rPr>
      <w:t>1</w:t>
    </w:r>
    <w:r>
      <w:rPr>
        <w:color w:val="555555"/>
        <w:sz w:val="18"/>
        <w:szCs w:val="18"/>
      </w:rPr>
      <w:fldChar w:fldCharType="end"/>
    </w:r>
    <w:r>
      <w:rPr>
        <w:color w:val="555555"/>
        <w:sz w:val="18"/>
        <w:szCs w:val="18"/>
      </w:rPr>
      <w:t xml:space="preserve"> of </w:t>
    </w:r>
    <w:r>
      <w:rPr>
        <w:color w:val="555555"/>
        <w:sz w:val="18"/>
        <w:szCs w:val="18"/>
      </w:rPr>
      <w:fldChar w:fldCharType="begin"/>
    </w:r>
    <w:r>
      <w:rPr>
        <w:color w:val="555555"/>
        <w:sz w:val="18"/>
        <w:szCs w:val="18"/>
      </w:rPr>
      <w:instrText>NUMPAGES</w:instrText>
    </w:r>
    <w:r>
      <w:rPr>
        <w:color w:val="555555"/>
        <w:sz w:val="18"/>
        <w:szCs w:val="18"/>
      </w:rPr>
      <w:fldChar w:fldCharType="separate"/>
    </w:r>
    <w:r w:rsidR="002C3567">
      <w:rPr>
        <w:noProof/>
        <w:color w:val="555555"/>
        <w:sz w:val="18"/>
        <w:szCs w:val="18"/>
      </w:rPr>
      <w:t>2</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F515" w14:textId="77777777" w:rsidR="00243FC0" w:rsidRDefault="00243FC0">
      <w:r>
        <w:separator/>
      </w:r>
    </w:p>
  </w:footnote>
  <w:footnote w:type="continuationSeparator" w:id="0">
    <w:p w14:paraId="5084DF0B" w14:textId="77777777" w:rsidR="00243FC0" w:rsidRDefault="0024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E20F" w14:textId="77777777" w:rsidR="002E7D0E" w:rsidRDefault="00000000">
    <w:pPr>
      <w:pBdr>
        <w:bottom w:val="single" w:sz="4" w:space="6" w:color="1F3864"/>
      </w:pBdr>
      <w:jc w:val="right"/>
    </w:pPr>
    <w:r>
      <w:rPr>
        <w:i/>
        <w:iCs/>
        <w:color w:val="555555"/>
        <w:sz w:val="18"/>
        <w:szCs w:val="18"/>
      </w:rPr>
      <w:t>Essential Insurance Fairness &amp; Consumer Protection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0E51"/>
    <w:multiLevelType w:val="hybridMultilevel"/>
    <w:tmpl w:val="FCF60134"/>
    <w:lvl w:ilvl="0" w:tplc="6A64E4F8">
      <w:start w:val="1"/>
      <w:numFmt w:val="bullet"/>
      <w:lvlText w:val="●"/>
      <w:lvlJc w:val="left"/>
      <w:pPr>
        <w:ind w:left="720" w:hanging="360"/>
      </w:pPr>
    </w:lvl>
    <w:lvl w:ilvl="1" w:tplc="9D02F0C8">
      <w:start w:val="1"/>
      <w:numFmt w:val="bullet"/>
      <w:lvlText w:val="○"/>
      <w:lvlJc w:val="left"/>
      <w:pPr>
        <w:ind w:left="1440" w:hanging="360"/>
      </w:pPr>
    </w:lvl>
    <w:lvl w:ilvl="2" w:tplc="CE1CB4E8">
      <w:start w:val="1"/>
      <w:numFmt w:val="bullet"/>
      <w:lvlText w:val="■"/>
      <w:lvlJc w:val="left"/>
      <w:pPr>
        <w:ind w:left="2160" w:hanging="360"/>
      </w:pPr>
    </w:lvl>
    <w:lvl w:ilvl="3" w:tplc="94B08C14">
      <w:start w:val="1"/>
      <w:numFmt w:val="bullet"/>
      <w:lvlText w:val="●"/>
      <w:lvlJc w:val="left"/>
      <w:pPr>
        <w:ind w:left="2880" w:hanging="360"/>
      </w:pPr>
    </w:lvl>
    <w:lvl w:ilvl="4" w:tplc="6EDC5E4C">
      <w:start w:val="1"/>
      <w:numFmt w:val="bullet"/>
      <w:lvlText w:val="○"/>
      <w:lvlJc w:val="left"/>
      <w:pPr>
        <w:ind w:left="3600" w:hanging="360"/>
      </w:pPr>
    </w:lvl>
    <w:lvl w:ilvl="5" w:tplc="1B141FDC">
      <w:start w:val="1"/>
      <w:numFmt w:val="bullet"/>
      <w:lvlText w:val="■"/>
      <w:lvlJc w:val="left"/>
      <w:pPr>
        <w:ind w:left="4320" w:hanging="360"/>
      </w:pPr>
    </w:lvl>
    <w:lvl w:ilvl="6" w:tplc="C5B8DAD2">
      <w:start w:val="1"/>
      <w:numFmt w:val="bullet"/>
      <w:lvlText w:val="●"/>
      <w:lvlJc w:val="left"/>
      <w:pPr>
        <w:ind w:left="5040" w:hanging="360"/>
      </w:pPr>
    </w:lvl>
    <w:lvl w:ilvl="7" w:tplc="591A8D98">
      <w:start w:val="1"/>
      <w:numFmt w:val="bullet"/>
      <w:lvlText w:val="●"/>
      <w:lvlJc w:val="left"/>
      <w:pPr>
        <w:ind w:left="5760" w:hanging="360"/>
      </w:pPr>
    </w:lvl>
    <w:lvl w:ilvl="8" w:tplc="6E6CAFBC">
      <w:start w:val="1"/>
      <w:numFmt w:val="bullet"/>
      <w:lvlText w:val="●"/>
      <w:lvlJc w:val="left"/>
      <w:pPr>
        <w:ind w:left="6480" w:hanging="360"/>
      </w:pPr>
    </w:lvl>
  </w:abstractNum>
  <w:num w:numId="1" w16cid:durableId="12573299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0E"/>
    <w:rsid w:val="001E4C02"/>
    <w:rsid w:val="00243FC0"/>
    <w:rsid w:val="002C3567"/>
    <w:rsid w:val="002E7D0E"/>
    <w:rsid w:val="003F41C0"/>
    <w:rsid w:val="006D6E2E"/>
    <w:rsid w:val="007959D3"/>
    <w:rsid w:val="007F395F"/>
    <w:rsid w:val="00AC2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E0C6"/>
  <w15:docId w15:val="{9C6D21C3-0158-42FD-A3EF-6500621D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3864"/>
      <w:sz w:val="28"/>
      <w:szCs w:val="28"/>
    </w:rPr>
  </w:style>
  <w:style w:type="paragraph" w:styleId="Heading2">
    <w:name w:val="heading 2"/>
    <w:uiPriority w:val="9"/>
    <w:unhideWhenUsed/>
    <w:qFormat/>
    <w:pPr>
      <w:spacing w:before="240" w:after="80"/>
      <w:outlineLvl w:val="1"/>
    </w:pPr>
    <w:rPr>
      <w:b/>
      <w:bCs/>
      <w:color w:val="1F3864"/>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6539</Words>
  <Characters>39890</Characters>
  <Application>Microsoft Office Word</Application>
  <DocSecurity>0</DocSecurity>
  <Lines>712</Lines>
  <Paragraphs>295</Paragraphs>
  <ScaleCrop>false</ScaleCrop>
  <Company/>
  <LinksUpToDate>false</LinksUpToDate>
  <CharactersWithSpaces>46134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Oxford Christian Forbes Nordberg</cp:lastModifiedBy>
  <cp:revision>3</cp:revision>
  <dcterms:created xsi:type="dcterms:W3CDTF">2026-03-21T15:20:00Z</dcterms:created>
  <dcterms:modified xsi:type="dcterms:W3CDTF">2026-03-21T15:20:00Z</dcterms:modified>
</cp:coreProperties>
</file>