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8909" w14:textId="50688558" w:rsidR="00524DA1" w:rsidRDefault="00B37BC5" w:rsidP="00524DA1">
      <w:pPr>
        <w:rPr>
          <w:b/>
          <w:bCs/>
        </w:rPr>
      </w:pPr>
      <w:r>
        <w:rPr>
          <w:b/>
          <w:bCs/>
          <w:noProof/>
        </w:rPr>
        <w:drawing>
          <wp:inline distT="0" distB="0" distL="0" distR="0" wp14:anchorId="54D05E07" wp14:editId="58B4234F">
            <wp:extent cx="1408193" cy="894443"/>
            <wp:effectExtent l="0" t="0" r="1905" b="1270"/>
            <wp:docPr id="1317505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05019" name="Image 13175050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948" cy="904450"/>
                    </a:xfrm>
                    <a:prstGeom prst="rect">
                      <a:avLst/>
                    </a:prstGeom>
                  </pic:spPr>
                </pic:pic>
              </a:graphicData>
            </a:graphic>
          </wp:inline>
        </w:drawing>
      </w:r>
    </w:p>
    <w:p w14:paraId="7F52D493" w14:textId="5C8E2177" w:rsidR="006159E9" w:rsidRPr="008C7668" w:rsidRDefault="006159E9" w:rsidP="00AF67CA">
      <w:pPr>
        <w:spacing w:line="240" w:lineRule="auto"/>
        <w:rPr>
          <w:b/>
          <w:bCs/>
          <w:u w:val="single"/>
        </w:rPr>
      </w:pPr>
      <w:r w:rsidRPr="007D1A73">
        <w:rPr>
          <w:b/>
          <w:bCs/>
          <w:u w:val="single"/>
        </w:rPr>
        <w:t>Revendications accord handicap 2026-2028</w:t>
      </w:r>
    </w:p>
    <w:p w14:paraId="27B209CF" w14:textId="77777777" w:rsidR="006159E9" w:rsidRPr="008C7668" w:rsidRDefault="006159E9" w:rsidP="00AF67CA">
      <w:pPr>
        <w:pStyle w:val="Sous-titre"/>
        <w:spacing w:line="240" w:lineRule="auto"/>
        <w:rPr>
          <w:rFonts w:eastAsiaTheme="minorHAnsi" w:cstheme="minorBidi"/>
          <w:color w:val="auto"/>
          <w:spacing w:val="0"/>
          <w:sz w:val="22"/>
          <w:szCs w:val="22"/>
        </w:rPr>
      </w:pPr>
      <w:r w:rsidRPr="008C7668">
        <w:rPr>
          <w:rFonts w:eastAsiaTheme="minorHAnsi" w:cstheme="minorBidi"/>
          <w:color w:val="auto"/>
          <w:spacing w:val="0"/>
          <w:sz w:val="22"/>
          <w:szCs w:val="22"/>
        </w:rPr>
        <w:t>Structuration et consolidation des mesures pour l’emploi, le suivi et l’inclusion</w:t>
      </w:r>
    </w:p>
    <w:p w14:paraId="742F0E28" w14:textId="77777777" w:rsidR="006159E9" w:rsidRPr="008C7668" w:rsidRDefault="006159E9" w:rsidP="00AF67CA">
      <w:pPr>
        <w:pStyle w:val="Titre1"/>
        <w:spacing w:line="240" w:lineRule="auto"/>
        <w:rPr>
          <w:rFonts w:asciiTheme="minorHAnsi" w:eastAsiaTheme="minorHAnsi" w:hAnsiTheme="minorHAnsi" w:cstheme="minorBidi"/>
          <w:b/>
          <w:bCs/>
          <w:color w:val="auto"/>
          <w:sz w:val="22"/>
          <w:szCs w:val="22"/>
        </w:rPr>
      </w:pPr>
      <w:r w:rsidRPr="008C7668">
        <w:rPr>
          <w:rFonts w:asciiTheme="minorHAnsi" w:eastAsiaTheme="minorHAnsi" w:hAnsiTheme="minorHAnsi" w:cstheme="minorBidi"/>
          <w:b/>
          <w:bCs/>
          <w:color w:val="auto"/>
          <w:sz w:val="22"/>
          <w:szCs w:val="22"/>
        </w:rPr>
        <w:t>Préambule – Une logique de consolidation plutôt que de rupture</w:t>
      </w:r>
    </w:p>
    <w:p w14:paraId="4C3F0B11" w14:textId="77777777" w:rsidR="006159E9" w:rsidRDefault="006159E9" w:rsidP="00AF67CA">
      <w:pPr>
        <w:spacing w:line="240" w:lineRule="auto"/>
        <w:rPr>
          <w:rFonts w:eastAsiaTheme="minorEastAsia"/>
        </w:rPr>
      </w:pPr>
      <w:r>
        <w:t>La CGT s’appuie sur les résultats positifs obtenus grâce à l’accord Handicap 2023</w:t>
      </w:r>
      <w:r>
        <w:noBreakHyphen/>
        <w:t>2025, notamment l’atteinte et le dépassement du taux légal d’emploi de travailleurs en situation de handicap à partir de 2024. Cette dynamique prouve qu’une politique structurée et suivie engendre des effets concrets et mesurables, ce qui invite à poursuivre les avancées dans une logique de consolidation, sans rupture avec les acquis précédents.</w:t>
      </w:r>
    </w:p>
    <w:p w14:paraId="299872CE" w14:textId="77777777" w:rsidR="006159E9" w:rsidRDefault="006159E9" w:rsidP="00AF67CA">
      <w:pPr>
        <w:pStyle w:val="Titre2"/>
        <w:spacing w:line="240" w:lineRule="auto"/>
        <w:rPr>
          <w:rFonts w:eastAsia="Times New Roman"/>
        </w:rPr>
      </w:pPr>
      <w:r w:rsidRPr="008C7668">
        <w:rPr>
          <w:rFonts w:asciiTheme="minorHAnsi" w:eastAsiaTheme="minorHAnsi" w:hAnsiTheme="minorHAnsi" w:cstheme="minorBidi"/>
          <w:b/>
          <w:bCs/>
          <w:color w:val="auto"/>
          <w:sz w:val="22"/>
          <w:szCs w:val="22"/>
        </w:rPr>
        <w:t>1. Objectifs d’emploi</w:t>
      </w:r>
      <w:r w:rsidRPr="008C7668">
        <w:rPr>
          <w:rFonts w:ascii="Arial" w:eastAsiaTheme="minorHAnsi" w:hAnsi="Arial" w:cs="Arial"/>
          <w:b/>
          <w:bCs/>
          <w:color w:val="auto"/>
          <w:sz w:val="22"/>
          <w:szCs w:val="22"/>
        </w:rPr>
        <w:t> </w:t>
      </w:r>
      <w:r w:rsidRPr="008C7668">
        <w:rPr>
          <w:rFonts w:asciiTheme="minorHAnsi" w:eastAsiaTheme="minorHAnsi" w:hAnsiTheme="minorHAnsi" w:cstheme="minorBidi"/>
          <w:b/>
          <w:bCs/>
          <w:color w:val="auto"/>
          <w:sz w:val="22"/>
          <w:szCs w:val="22"/>
        </w:rPr>
        <w:t>: sécuriser les acquis</w:t>
      </w:r>
    </w:p>
    <w:p w14:paraId="58790454" w14:textId="77777777" w:rsidR="006159E9" w:rsidRDefault="006159E9" w:rsidP="00AF67CA">
      <w:pPr>
        <w:spacing w:line="240" w:lineRule="auto"/>
        <w:rPr>
          <w:rFonts w:eastAsiaTheme="minorEastAsia"/>
        </w:rPr>
      </w:pPr>
      <w:r>
        <w:t>La situation actuelle montre que le taux légal de 6</w:t>
      </w:r>
      <w:r>
        <w:rPr>
          <w:rFonts w:ascii="Arial" w:hAnsi="Arial" w:cs="Arial"/>
        </w:rPr>
        <w:t> </w:t>
      </w:r>
      <w:r>
        <w:t xml:space="preserve">% de travailleurs en situation de handicap est non seulement atteint, mais </w:t>
      </w:r>
      <w:r>
        <w:rPr>
          <w:rFonts w:ascii="Aptos" w:hAnsi="Aptos" w:cs="Aptos"/>
        </w:rPr>
        <w:t>é</w:t>
      </w:r>
      <w:r>
        <w:t>galement d</w:t>
      </w:r>
      <w:r>
        <w:rPr>
          <w:rFonts w:ascii="Aptos" w:hAnsi="Aptos" w:cs="Aptos"/>
        </w:rPr>
        <w:t>é</w:t>
      </w:r>
      <w:r>
        <w:t>pass</w:t>
      </w:r>
      <w:r>
        <w:rPr>
          <w:rFonts w:ascii="Aptos" w:hAnsi="Aptos" w:cs="Aptos"/>
        </w:rPr>
        <w:t>é</w:t>
      </w:r>
      <w:r>
        <w:t xml:space="preserve"> depuis 2024. Toutefois, ce r</w:t>
      </w:r>
      <w:r>
        <w:rPr>
          <w:rFonts w:ascii="Aptos" w:hAnsi="Aptos" w:cs="Aptos"/>
        </w:rPr>
        <w:t>é</w:t>
      </w:r>
      <w:r>
        <w:t>sultat demeure fragile, car il reste sensible aux d</w:t>
      </w:r>
      <w:r>
        <w:rPr>
          <w:rFonts w:ascii="Aptos" w:hAnsi="Aptos" w:cs="Aptos"/>
        </w:rPr>
        <w:t>é</w:t>
      </w:r>
      <w:r>
        <w:t>parts li</w:t>
      </w:r>
      <w:r>
        <w:rPr>
          <w:rFonts w:ascii="Aptos" w:hAnsi="Aptos" w:cs="Aptos"/>
        </w:rPr>
        <w:t>é</w:t>
      </w:r>
      <w:r>
        <w:t xml:space="preserve">s aux retraites, aux licenciements et </w:t>
      </w:r>
      <w:r>
        <w:rPr>
          <w:rFonts w:ascii="Aptos" w:hAnsi="Aptos" w:cs="Aptos"/>
        </w:rPr>
        <w:t>à</w:t>
      </w:r>
      <w:r>
        <w:t xml:space="preserve"> une pyramide des </w:t>
      </w:r>
      <w:r>
        <w:rPr>
          <w:rFonts w:ascii="Aptos" w:hAnsi="Aptos" w:cs="Aptos"/>
        </w:rPr>
        <w:t>â</w:t>
      </w:r>
      <w:r>
        <w:t xml:space="preserve">ges </w:t>
      </w:r>
      <w:r>
        <w:rPr>
          <w:rFonts w:ascii="Aptos" w:hAnsi="Aptos" w:cs="Aptos"/>
        </w:rPr>
        <w:t>é</w:t>
      </w:r>
      <w:r>
        <w:t>lev</w:t>
      </w:r>
      <w:r>
        <w:rPr>
          <w:rFonts w:ascii="Aptos" w:hAnsi="Aptos" w:cs="Aptos"/>
        </w:rPr>
        <w:t>é</w:t>
      </w:r>
      <w:r>
        <w:t>e.</w:t>
      </w:r>
    </w:p>
    <w:p w14:paraId="35A7ECE6" w14:textId="77777777" w:rsidR="006159E9" w:rsidRDefault="006159E9" w:rsidP="00AF67CA">
      <w:pPr>
        <w:spacing w:line="240" w:lineRule="auto"/>
      </w:pPr>
      <w:r>
        <w:rPr>
          <w:b/>
          <w:bCs/>
        </w:rPr>
        <w:t>Propositions CGT :</w:t>
      </w:r>
    </w:p>
    <w:p w14:paraId="0637F9FE" w14:textId="77777777" w:rsidR="006159E9" w:rsidRDefault="006159E9" w:rsidP="00AF67CA">
      <w:pPr>
        <w:numPr>
          <w:ilvl w:val="0"/>
          <w:numId w:val="73"/>
        </w:numPr>
        <w:spacing w:line="240" w:lineRule="auto"/>
        <w:rPr>
          <w:rFonts w:eastAsia="Times New Roman"/>
        </w:rPr>
      </w:pPr>
      <w:r>
        <w:rPr>
          <w:rFonts w:eastAsia="Times New Roman"/>
        </w:rPr>
        <w:t>Inscrire dans le nouvel accord un objectif de maintien durable du taux légal de 6</w:t>
      </w:r>
      <w:r>
        <w:rPr>
          <w:rFonts w:ascii="Arial" w:eastAsia="Times New Roman" w:hAnsi="Arial" w:cs="Arial"/>
        </w:rPr>
        <w:t> </w:t>
      </w:r>
      <w:r>
        <w:rPr>
          <w:rFonts w:eastAsia="Times New Roman"/>
        </w:rPr>
        <w:t xml:space="preserve">%, sans chercher </w:t>
      </w:r>
      <w:r>
        <w:rPr>
          <w:rFonts w:ascii="Aptos" w:eastAsia="Times New Roman" w:hAnsi="Aptos" w:cs="Aptos"/>
        </w:rPr>
        <w:t>à</w:t>
      </w:r>
      <w:r>
        <w:rPr>
          <w:rFonts w:eastAsia="Times New Roman"/>
        </w:rPr>
        <w:t xml:space="preserve"> fixer un objectif chiffr</w:t>
      </w:r>
      <w:r>
        <w:rPr>
          <w:rFonts w:ascii="Aptos" w:eastAsia="Times New Roman" w:hAnsi="Aptos" w:cs="Aptos"/>
        </w:rPr>
        <w:t>é</w:t>
      </w:r>
      <w:r>
        <w:rPr>
          <w:rFonts w:eastAsia="Times New Roman"/>
        </w:rPr>
        <w:t xml:space="preserve"> sup</w:t>
      </w:r>
      <w:r>
        <w:rPr>
          <w:rFonts w:ascii="Aptos" w:eastAsia="Times New Roman" w:hAnsi="Aptos" w:cs="Aptos"/>
        </w:rPr>
        <w:t>é</w:t>
      </w:r>
      <w:r>
        <w:rPr>
          <w:rFonts w:eastAsia="Times New Roman"/>
        </w:rPr>
        <w:t>rieur.</w:t>
      </w:r>
    </w:p>
    <w:p w14:paraId="2C7E2EDC" w14:textId="77777777" w:rsidR="006159E9" w:rsidRDefault="006159E9" w:rsidP="00AF67CA">
      <w:pPr>
        <w:numPr>
          <w:ilvl w:val="0"/>
          <w:numId w:val="73"/>
        </w:numPr>
        <w:spacing w:line="240" w:lineRule="auto"/>
        <w:rPr>
          <w:rFonts w:eastAsia="Times New Roman"/>
        </w:rPr>
      </w:pPr>
      <w:r>
        <w:rPr>
          <w:rFonts w:eastAsia="Times New Roman"/>
        </w:rPr>
        <w:t>Mettre en place un suivi annuel formalisé, à présenter d’abord en Commission de Suivi Handicap puis en CSE.</w:t>
      </w:r>
    </w:p>
    <w:p w14:paraId="7FD8807D" w14:textId="77777777" w:rsidR="006159E9" w:rsidRDefault="006159E9" w:rsidP="00AF67CA">
      <w:pPr>
        <w:numPr>
          <w:ilvl w:val="0"/>
          <w:numId w:val="73"/>
        </w:numPr>
        <w:spacing w:line="240" w:lineRule="auto"/>
        <w:rPr>
          <w:rFonts w:eastAsia="Times New Roman"/>
        </w:rPr>
      </w:pPr>
      <w:r>
        <w:rPr>
          <w:rFonts w:eastAsia="Times New Roman"/>
        </w:rPr>
        <w:t>Prévoir un principe de vigilance renforcée en cas d’écarts significatifs, tels qu’une augmentation des sorties ou une diminution des reconnaissances, sans instaurer de mécanisme de sanction automatique.</w:t>
      </w:r>
    </w:p>
    <w:p w14:paraId="2FC6420F" w14:textId="77777777" w:rsidR="006159E9" w:rsidRPr="008C7668" w:rsidRDefault="006159E9" w:rsidP="00AF67CA">
      <w:pPr>
        <w:pStyle w:val="Titre2"/>
        <w:spacing w:line="240" w:lineRule="auto"/>
        <w:rPr>
          <w:rFonts w:asciiTheme="minorHAnsi" w:eastAsiaTheme="minorHAnsi" w:hAnsiTheme="minorHAnsi" w:cstheme="minorBidi"/>
          <w:b/>
          <w:bCs/>
          <w:color w:val="auto"/>
          <w:sz w:val="22"/>
          <w:szCs w:val="22"/>
        </w:rPr>
      </w:pPr>
      <w:r w:rsidRPr="008C7668">
        <w:rPr>
          <w:rFonts w:asciiTheme="minorHAnsi" w:eastAsiaTheme="minorHAnsi" w:hAnsiTheme="minorHAnsi" w:cstheme="minorBidi"/>
          <w:b/>
          <w:bCs/>
          <w:color w:val="auto"/>
          <w:sz w:val="22"/>
          <w:szCs w:val="22"/>
        </w:rPr>
        <w:t>2. Pilotage et suivi</w:t>
      </w:r>
      <w:r w:rsidRPr="008C7668">
        <w:rPr>
          <w:rFonts w:ascii="Arial" w:eastAsiaTheme="minorHAnsi" w:hAnsi="Arial" w:cs="Arial"/>
          <w:b/>
          <w:bCs/>
          <w:color w:val="auto"/>
          <w:sz w:val="22"/>
          <w:szCs w:val="22"/>
        </w:rPr>
        <w:t> </w:t>
      </w:r>
      <w:r w:rsidRPr="008C7668">
        <w:rPr>
          <w:rFonts w:asciiTheme="minorHAnsi" w:eastAsiaTheme="minorHAnsi" w:hAnsiTheme="minorHAnsi" w:cstheme="minorBidi"/>
          <w:b/>
          <w:bCs/>
          <w:color w:val="auto"/>
          <w:sz w:val="22"/>
          <w:szCs w:val="22"/>
        </w:rPr>
        <w:t>: renforcer la lisibilité</w:t>
      </w:r>
    </w:p>
    <w:p w14:paraId="63E0FCA8" w14:textId="77777777" w:rsidR="006159E9" w:rsidRDefault="006159E9" w:rsidP="00AF67CA">
      <w:pPr>
        <w:spacing w:line="240" w:lineRule="auto"/>
        <w:rPr>
          <w:rFonts w:eastAsiaTheme="minorEastAsia"/>
        </w:rPr>
      </w:pPr>
      <w:r>
        <w:t>La Commission de Suivi Handicap joue déjà un rôle structurant, mais il est possible de renforcer sa lisibilité opérationnelle.</w:t>
      </w:r>
    </w:p>
    <w:p w14:paraId="4949B69C" w14:textId="77777777" w:rsidR="006159E9" w:rsidRDefault="006159E9" w:rsidP="00AF67CA">
      <w:pPr>
        <w:spacing w:line="240" w:lineRule="auto"/>
      </w:pPr>
      <w:r>
        <w:rPr>
          <w:b/>
          <w:bCs/>
        </w:rPr>
        <w:t>Propositions CGT :</w:t>
      </w:r>
    </w:p>
    <w:p w14:paraId="2BEF68FF" w14:textId="77777777" w:rsidR="006159E9" w:rsidRDefault="006159E9" w:rsidP="00AF67CA">
      <w:pPr>
        <w:numPr>
          <w:ilvl w:val="0"/>
          <w:numId w:val="74"/>
        </w:numPr>
        <w:spacing w:line="240" w:lineRule="auto"/>
        <w:rPr>
          <w:rFonts w:eastAsia="Times New Roman"/>
        </w:rPr>
      </w:pPr>
      <w:r>
        <w:rPr>
          <w:rFonts w:eastAsia="Times New Roman"/>
        </w:rPr>
        <w:t>Conserver la Commission de Suivi Handicap comme instance centrale.</w:t>
      </w:r>
    </w:p>
    <w:p w14:paraId="1A9BCED0" w14:textId="77777777" w:rsidR="006159E9" w:rsidRDefault="006159E9" w:rsidP="00AF67CA">
      <w:pPr>
        <w:numPr>
          <w:ilvl w:val="0"/>
          <w:numId w:val="74"/>
        </w:numPr>
        <w:spacing w:line="240" w:lineRule="auto"/>
        <w:rPr>
          <w:rFonts w:eastAsia="Times New Roman"/>
        </w:rPr>
      </w:pPr>
      <w:r>
        <w:rPr>
          <w:rFonts w:eastAsia="Times New Roman"/>
        </w:rPr>
        <w:t>Formaliser un ensemble d’indicateurs stabilisés (emploi, entrées/sorties, maintien dans l’emploi) transmis régulièrement.</w:t>
      </w:r>
    </w:p>
    <w:p w14:paraId="6659C2AC" w14:textId="77777777" w:rsidR="006159E9" w:rsidRDefault="006159E9" w:rsidP="00AF67CA">
      <w:pPr>
        <w:numPr>
          <w:ilvl w:val="0"/>
          <w:numId w:val="74"/>
        </w:numPr>
        <w:spacing w:line="240" w:lineRule="auto"/>
        <w:rPr>
          <w:rFonts w:eastAsia="Times New Roman"/>
        </w:rPr>
      </w:pPr>
      <w:r>
        <w:rPr>
          <w:rFonts w:eastAsia="Times New Roman"/>
        </w:rPr>
        <w:t>Favoriser une lecture territoriale globale, par plaque ou regroupement d’établissements, sans exiger de quotas rigides par site.</w:t>
      </w:r>
    </w:p>
    <w:p w14:paraId="1C8E3AC5" w14:textId="77777777" w:rsidR="006159E9" w:rsidRPr="008C7668" w:rsidRDefault="006159E9" w:rsidP="00AF67CA">
      <w:pPr>
        <w:pStyle w:val="Titre2"/>
        <w:spacing w:line="240" w:lineRule="auto"/>
        <w:rPr>
          <w:rFonts w:asciiTheme="minorHAnsi" w:eastAsiaTheme="minorHAnsi" w:hAnsiTheme="minorHAnsi" w:cstheme="minorBidi"/>
          <w:b/>
          <w:bCs/>
          <w:color w:val="auto"/>
          <w:sz w:val="22"/>
          <w:szCs w:val="22"/>
        </w:rPr>
      </w:pPr>
      <w:r w:rsidRPr="008C7668">
        <w:rPr>
          <w:rFonts w:asciiTheme="minorHAnsi" w:eastAsiaTheme="minorHAnsi" w:hAnsiTheme="minorHAnsi" w:cstheme="minorBidi"/>
          <w:b/>
          <w:bCs/>
          <w:color w:val="auto"/>
          <w:sz w:val="22"/>
          <w:szCs w:val="22"/>
        </w:rPr>
        <w:t>3. Moyens financiers</w:t>
      </w:r>
      <w:r w:rsidRPr="008C7668">
        <w:rPr>
          <w:rFonts w:ascii="Arial" w:eastAsiaTheme="minorHAnsi" w:hAnsi="Arial" w:cs="Arial"/>
          <w:b/>
          <w:bCs/>
          <w:color w:val="auto"/>
          <w:sz w:val="22"/>
          <w:szCs w:val="22"/>
        </w:rPr>
        <w:t> </w:t>
      </w:r>
      <w:r w:rsidRPr="008C7668">
        <w:rPr>
          <w:rFonts w:asciiTheme="minorHAnsi" w:eastAsiaTheme="minorHAnsi" w:hAnsiTheme="minorHAnsi" w:cstheme="minorBidi"/>
          <w:b/>
          <w:bCs/>
          <w:color w:val="auto"/>
          <w:sz w:val="22"/>
          <w:szCs w:val="22"/>
        </w:rPr>
        <w:t>: garantir l’équilibre</w:t>
      </w:r>
    </w:p>
    <w:p w14:paraId="17715BD4" w14:textId="77777777" w:rsidR="006159E9" w:rsidRDefault="006159E9" w:rsidP="00AF67CA">
      <w:pPr>
        <w:spacing w:line="240" w:lineRule="auto"/>
        <w:rPr>
          <w:rFonts w:eastAsiaTheme="minorEastAsia"/>
        </w:rPr>
      </w:pPr>
      <w:r>
        <w:t>Les montants engagés jusqu’ici ont permis la réalisation d’actions concrètes, mais ils restent limités au regard de l’enjeu du maintien dans l’emploi.</w:t>
      </w:r>
    </w:p>
    <w:p w14:paraId="60E5D8EF" w14:textId="77777777" w:rsidR="00AF67CA" w:rsidRDefault="00AF67CA" w:rsidP="00AF67CA">
      <w:pPr>
        <w:spacing w:line="240" w:lineRule="auto"/>
        <w:rPr>
          <w:b/>
          <w:bCs/>
        </w:rPr>
      </w:pPr>
    </w:p>
    <w:p w14:paraId="69BE6915" w14:textId="77777777" w:rsidR="004F6B31" w:rsidRDefault="004F6B31" w:rsidP="00AF67CA">
      <w:pPr>
        <w:pStyle w:val="Sansinterligne"/>
        <w:rPr>
          <w:b/>
          <w:bCs/>
        </w:rPr>
      </w:pPr>
    </w:p>
    <w:p w14:paraId="72DC99B2" w14:textId="099D11BE" w:rsidR="006159E9" w:rsidRPr="00AF67CA" w:rsidRDefault="006159E9" w:rsidP="00AF67CA">
      <w:pPr>
        <w:pStyle w:val="Sansinterligne"/>
        <w:rPr>
          <w:b/>
          <w:bCs/>
        </w:rPr>
      </w:pPr>
      <w:r w:rsidRPr="00AF67CA">
        <w:rPr>
          <w:b/>
          <w:bCs/>
        </w:rPr>
        <w:lastRenderedPageBreak/>
        <w:t>Propositions CGT :</w:t>
      </w:r>
    </w:p>
    <w:p w14:paraId="14013F06" w14:textId="77777777" w:rsidR="006159E9" w:rsidRDefault="006159E9" w:rsidP="00AF67CA">
      <w:pPr>
        <w:numPr>
          <w:ilvl w:val="0"/>
          <w:numId w:val="75"/>
        </w:numPr>
        <w:spacing w:line="240" w:lineRule="auto"/>
        <w:rPr>
          <w:rFonts w:eastAsia="Times New Roman"/>
        </w:rPr>
      </w:pPr>
      <w:r>
        <w:rPr>
          <w:rFonts w:eastAsia="Times New Roman"/>
        </w:rPr>
        <w:t>Maintenir un budget Handicap identifié et sanctuarisé, distinct des autres budgets.</w:t>
      </w:r>
    </w:p>
    <w:p w14:paraId="0EDB7850" w14:textId="77777777" w:rsidR="006159E9" w:rsidRDefault="006159E9" w:rsidP="00AF67CA">
      <w:pPr>
        <w:numPr>
          <w:ilvl w:val="0"/>
          <w:numId w:val="75"/>
        </w:numPr>
        <w:spacing w:line="240" w:lineRule="auto"/>
        <w:rPr>
          <w:rFonts w:eastAsia="Times New Roman"/>
        </w:rPr>
      </w:pPr>
      <w:r>
        <w:rPr>
          <w:rFonts w:eastAsia="Times New Roman"/>
        </w:rPr>
        <w:t>S’engager à réexaminer chaque année ce budget, en fonction des besoins (aménagements, situations individuelles).</w:t>
      </w:r>
    </w:p>
    <w:p w14:paraId="14A35235" w14:textId="77777777" w:rsidR="006159E9" w:rsidRDefault="006159E9" w:rsidP="00AF67CA">
      <w:pPr>
        <w:numPr>
          <w:ilvl w:val="0"/>
          <w:numId w:val="75"/>
        </w:numPr>
        <w:spacing w:line="240" w:lineRule="auto"/>
        <w:rPr>
          <w:rFonts w:eastAsia="Times New Roman"/>
        </w:rPr>
      </w:pPr>
      <w:r>
        <w:rPr>
          <w:rFonts w:eastAsia="Times New Roman"/>
        </w:rPr>
        <w:t>Créer une enveloppe de réactivité dédiée au maintien dans l’emploi, mobilisable rapidement sur décision conjointe du Référent Handicap et des RH.</w:t>
      </w:r>
    </w:p>
    <w:p w14:paraId="5895771F" w14:textId="77777777" w:rsidR="006159E9" w:rsidRPr="008C7668" w:rsidRDefault="006159E9" w:rsidP="00AF67CA">
      <w:pPr>
        <w:pStyle w:val="Titre2"/>
        <w:spacing w:line="240" w:lineRule="auto"/>
        <w:rPr>
          <w:rFonts w:asciiTheme="minorHAnsi" w:eastAsiaTheme="minorHAnsi" w:hAnsiTheme="minorHAnsi" w:cstheme="minorBidi"/>
          <w:b/>
          <w:bCs/>
          <w:color w:val="auto"/>
          <w:sz w:val="22"/>
          <w:szCs w:val="22"/>
        </w:rPr>
      </w:pPr>
      <w:r w:rsidRPr="008C7668">
        <w:rPr>
          <w:rFonts w:asciiTheme="minorHAnsi" w:eastAsiaTheme="minorHAnsi" w:hAnsiTheme="minorHAnsi" w:cstheme="minorBidi"/>
          <w:b/>
          <w:bCs/>
          <w:color w:val="auto"/>
          <w:sz w:val="22"/>
          <w:szCs w:val="22"/>
        </w:rPr>
        <w:t>4. Maintien dans l’emploi et aménagements de poste</w:t>
      </w:r>
      <w:r w:rsidRPr="008C7668">
        <w:rPr>
          <w:rFonts w:ascii="Arial" w:eastAsiaTheme="minorHAnsi" w:hAnsi="Arial" w:cs="Arial"/>
          <w:b/>
          <w:bCs/>
          <w:color w:val="auto"/>
          <w:sz w:val="22"/>
          <w:szCs w:val="22"/>
        </w:rPr>
        <w:t> </w:t>
      </w:r>
      <w:r w:rsidRPr="008C7668">
        <w:rPr>
          <w:rFonts w:asciiTheme="minorHAnsi" w:eastAsiaTheme="minorHAnsi" w:hAnsiTheme="minorHAnsi" w:cstheme="minorBidi"/>
          <w:b/>
          <w:bCs/>
          <w:color w:val="auto"/>
          <w:sz w:val="22"/>
          <w:szCs w:val="22"/>
        </w:rPr>
        <w:t>: formalisation des bonnes pratiques</w:t>
      </w:r>
    </w:p>
    <w:p w14:paraId="7907BF1E" w14:textId="77777777" w:rsidR="006159E9" w:rsidRDefault="006159E9" w:rsidP="00AF67CA">
      <w:pPr>
        <w:spacing w:line="240" w:lineRule="auto"/>
        <w:rPr>
          <w:rFonts w:eastAsiaTheme="minorEastAsia"/>
        </w:rPr>
      </w:pPr>
      <w:r>
        <w:t>Les aménagements réalisés sont concrets et efficaces, mais ils ne concernent encore qu’un nombre limité de situations, notamment en raison du profil majoritairement âgé des salariés BOETH (50 ans et plus).</w:t>
      </w:r>
    </w:p>
    <w:p w14:paraId="393BE074" w14:textId="77777777" w:rsidR="006159E9" w:rsidRDefault="006159E9" w:rsidP="00AF67CA">
      <w:pPr>
        <w:spacing w:line="240" w:lineRule="auto"/>
      </w:pPr>
      <w:r>
        <w:rPr>
          <w:b/>
          <w:bCs/>
        </w:rPr>
        <w:t>Propositions CGT :</w:t>
      </w:r>
    </w:p>
    <w:p w14:paraId="491E9409" w14:textId="77777777" w:rsidR="006159E9" w:rsidRDefault="006159E9" w:rsidP="00AF67CA">
      <w:pPr>
        <w:numPr>
          <w:ilvl w:val="0"/>
          <w:numId w:val="76"/>
        </w:numPr>
        <w:spacing w:line="240" w:lineRule="auto"/>
        <w:rPr>
          <w:rFonts w:eastAsia="Times New Roman"/>
        </w:rPr>
      </w:pPr>
      <w:r>
        <w:rPr>
          <w:rFonts w:eastAsia="Times New Roman"/>
        </w:rPr>
        <w:t>Formaliser un délai indicatif cible pour la mise en œuvre des aménagements, sans rigidité absolue.</w:t>
      </w:r>
    </w:p>
    <w:p w14:paraId="76227B89" w14:textId="77777777" w:rsidR="006159E9" w:rsidRDefault="006159E9" w:rsidP="00AF67CA">
      <w:pPr>
        <w:numPr>
          <w:ilvl w:val="0"/>
          <w:numId w:val="76"/>
        </w:numPr>
        <w:spacing w:line="240" w:lineRule="auto"/>
        <w:rPr>
          <w:rFonts w:eastAsia="Times New Roman"/>
        </w:rPr>
      </w:pPr>
      <w:r>
        <w:rPr>
          <w:rFonts w:eastAsia="Times New Roman"/>
        </w:rPr>
        <w:t>Permettre un réexamen ergonomique partagé lorsque la situation le justifie.</w:t>
      </w:r>
    </w:p>
    <w:p w14:paraId="45177B87" w14:textId="77777777" w:rsidR="00A31789" w:rsidRPr="00A31789" w:rsidRDefault="00A31789" w:rsidP="00AF67CA">
      <w:pPr>
        <w:pStyle w:val="Titre2"/>
        <w:spacing w:line="240" w:lineRule="auto"/>
        <w:rPr>
          <w:rFonts w:asciiTheme="minorHAnsi" w:eastAsiaTheme="minorHAnsi" w:hAnsiTheme="minorHAnsi" w:cstheme="minorBidi"/>
          <w:b/>
          <w:bCs/>
          <w:color w:val="auto"/>
          <w:sz w:val="22"/>
          <w:szCs w:val="22"/>
        </w:rPr>
      </w:pPr>
      <w:r w:rsidRPr="00A31789">
        <w:rPr>
          <w:rFonts w:asciiTheme="minorHAnsi" w:eastAsiaTheme="minorHAnsi" w:hAnsiTheme="minorHAnsi" w:cstheme="minorBidi"/>
          <w:b/>
          <w:bCs/>
          <w:color w:val="auto"/>
          <w:sz w:val="22"/>
          <w:szCs w:val="22"/>
        </w:rPr>
        <w:t>Télétravail thérapeutique</w:t>
      </w:r>
    </w:p>
    <w:p w14:paraId="3EA1F8E9" w14:textId="602D5834" w:rsidR="00C71A70" w:rsidRDefault="00A31789" w:rsidP="00AF67CA">
      <w:pPr>
        <w:numPr>
          <w:ilvl w:val="0"/>
          <w:numId w:val="84"/>
        </w:numPr>
        <w:spacing w:line="240" w:lineRule="auto"/>
        <w:rPr>
          <w:rFonts w:eastAsia="Times New Roman"/>
        </w:rPr>
      </w:pPr>
      <w:r>
        <w:rPr>
          <w:rFonts w:eastAsia="Times New Roman"/>
        </w:rPr>
        <w:t xml:space="preserve"> </w:t>
      </w:r>
      <w:r w:rsidR="00C71A70" w:rsidRPr="00C71A70">
        <w:rPr>
          <w:rFonts w:ascii="Aptos" w:hAnsi="Aptos"/>
          <w:color w:val="000000"/>
        </w:rPr>
        <w:t xml:space="preserve">Un délai maximal de 15 jours </w:t>
      </w:r>
      <w:r w:rsidR="00BA0E49" w:rsidRPr="00C71A70">
        <w:rPr>
          <w:rFonts w:ascii="Aptos" w:hAnsi="Aptos"/>
          <w:color w:val="000000"/>
        </w:rPr>
        <w:t>pour la mise en œuvre de cette mesure</w:t>
      </w:r>
      <w:r>
        <w:rPr>
          <w:rFonts w:eastAsia="Times New Roman"/>
        </w:rPr>
        <w:t>.</w:t>
      </w:r>
    </w:p>
    <w:p w14:paraId="0BB63943" w14:textId="77777777" w:rsidR="003356A7" w:rsidRDefault="003356A7" w:rsidP="00AF67CA">
      <w:pPr>
        <w:spacing w:line="240" w:lineRule="auto"/>
        <w:rPr>
          <w:rFonts w:eastAsiaTheme="minorEastAsia"/>
        </w:rPr>
      </w:pPr>
      <w:r>
        <w:rPr>
          <w:b/>
          <w:bCs/>
        </w:rPr>
        <w:t>Sensibilisation</w:t>
      </w:r>
    </w:p>
    <w:p w14:paraId="68BF86F8" w14:textId="3EF74F42" w:rsidR="003356A7" w:rsidRDefault="00885978" w:rsidP="00AF67CA">
      <w:pPr>
        <w:numPr>
          <w:ilvl w:val="0"/>
          <w:numId w:val="79"/>
        </w:numPr>
        <w:spacing w:line="240" w:lineRule="auto"/>
        <w:rPr>
          <w:rFonts w:eastAsia="Times New Roman"/>
        </w:rPr>
      </w:pPr>
      <w:r>
        <w:rPr>
          <w:rFonts w:eastAsia="Times New Roman"/>
        </w:rPr>
        <w:t>F</w:t>
      </w:r>
      <w:r w:rsidR="003356A7">
        <w:rPr>
          <w:rFonts w:eastAsia="Times New Roman"/>
        </w:rPr>
        <w:t>ormation handicap pour tous les managers.</w:t>
      </w:r>
    </w:p>
    <w:p w14:paraId="16A9CAD0" w14:textId="77777777" w:rsidR="003356A7" w:rsidRDefault="003356A7" w:rsidP="00AF67CA">
      <w:pPr>
        <w:numPr>
          <w:ilvl w:val="0"/>
          <w:numId w:val="79"/>
        </w:numPr>
        <w:spacing w:line="240" w:lineRule="auto"/>
        <w:rPr>
          <w:rFonts w:eastAsia="Times New Roman"/>
        </w:rPr>
      </w:pPr>
      <w:r>
        <w:rPr>
          <w:rFonts w:eastAsia="Times New Roman"/>
        </w:rPr>
        <w:t>Allouer un budget dédié et identifié à la sensibilisation.</w:t>
      </w:r>
    </w:p>
    <w:p w14:paraId="4EFD2D6D" w14:textId="4B6C4801" w:rsidR="00EE3A40" w:rsidRDefault="00EE3A40" w:rsidP="00AF67CA">
      <w:pPr>
        <w:spacing w:line="240" w:lineRule="auto"/>
        <w:rPr>
          <w:rFonts w:eastAsia="Times New Roman"/>
        </w:rPr>
      </w:pPr>
      <w:r w:rsidRPr="00EE3A40">
        <w:rPr>
          <w:b/>
          <w:bCs/>
        </w:rPr>
        <w:t>Formation</w:t>
      </w:r>
      <w:r>
        <w:rPr>
          <w:rFonts w:eastAsia="Times New Roman"/>
        </w:rPr>
        <w:t xml:space="preserve"> </w:t>
      </w:r>
    </w:p>
    <w:p w14:paraId="08F240C9" w14:textId="6A7CED46" w:rsidR="00EE3A40" w:rsidRDefault="00EE3A40" w:rsidP="00AF67CA">
      <w:pPr>
        <w:numPr>
          <w:ilvl w:val="0"/>
          <w:numId w:val="82"/>
        </w:numPr>
        <w:spacing w:line="240" w:lineRule="auto"/>
        <w:rPr>
          <w:rFonts w:eastAsia="Times New Roman"/>
        </w:rPr>
      </w:pPr>
      <w:r>
        <w:rPr>
          <w:rFonts w:eastAsia="Times New Roman"/>
        </w:rPr>
        <w:t>Créer un plan de formation individualisé pour chaque salarié RQTH.</w:t>
      </w:r>
    </w:p>
    <w:p w14:paraId="001035F2" w14:textId="50AC1784" w:rsidR="00EE3A40" w:rsidRDefault="00EE3A40" w:rsidP="00AF67CA">
      <w:pPr>
        <w:pStyle w:val="Paragraphedeliste"/>
        <w:numPr>
          <w:ilvl w:val="0"/>
          <w:numId w:val="82"/>
        </w:numPr>
        <w:spacing w:line="240" w:lineRule="auto"/>
        <w:rPr>
          <w:rFonts w:eastAsia="Times New Roman"/>
        </w:rPr>
      </w:pPr>
      <w:r w:rsidRPr="00EE3A40">
        <w:rPr>
          <w:rFonts w:eastAsia="Times New Roman"/>
        </w:rPr>
        <w:t>Accorder une priorité d’accès aux formations certifiantes</w:t>
      </w:r>
    </w:p>
    <w:p w14:paraId="3CD661AE" w14:textId="77777777" w:rsidR="006D73DA" w:rsidRPr="006D73DA" w:rsidRDefault="006D73DA" w:rsidP="00AF67CA">
      <w:pPr>
        <w:spacing w:line="240" w:lineRule="auto"/>
        <w:rPr>
          <w:b/>
          <w:bCs/>
        </w:rPr>
      </w:pPr>
      <w:r w:rsidRPr="006D73DA">
        <w:rPr>
          <w:b/>
          <w:bCs/>
        </w:rPr>
        <w:t>Adaptation des horaires</w:t>
      </w:r>
    </w:p>
    <w:p w14:paraId="2F72EA3F" w14:textId="22222BA0" w:rsidR="00AC23CB" w:rsidRDefault="003575E8" w:rsidP="00AF67CA">
      <w:pPr>
        <w:numPr>
          <w:ilvl w:val="0"/>
          <w:numId w:val="83"/>
        </w:numPr>
        <w:spacing w:line="240" w:lineRule="auto"/>
        <w:rPr>
          <w:rFonts w:eastAsia="Times New Roman"/>
        </w:rPr>
      </w:pPr>
      <w:r>
        <w:rPr>
          <w:rFonts w:eastAsia="Times New Roman"/>
        </w:rPr>
        <w:t>Reconnaître un droit à des pauses supplémentaires.</w:t>
      </w:r>
    </w:p>
    <w:p w14:paraId="052A7C73" w14:textId="33312DC9" w:rsidR="00AC23CB" w:rsidRPr="00B37BC5" w:rsidRDefault="00AF67CA" w:rsidP="00AF67CA">
      <w:pPr>
        <w:spacing w:line="240" w:lineRule="auto"/>
        <w:rPr>
          <w:b/>
          <w:bCs/>
        </w:rPr>
      </w:pPr>
      <w:r>
        <w:rPr>
          <w:b/>
          <w:bCs/>
        </w:rPr>
        <w:t>H</w:t>
      </w:r>
      <w:r w:rsidR="00980C0C">
        <w:rPr>
          <w:b/>
          <w:bCs/>
        </w:rPr>
        <w:t>eures suppl</w:t>
      </w:r>
      <w:r w:rsidR="00D77934">
        <w:rPr>
          <w:b/>
          <w:bCs/>
        </w:rPr>
        <w:t>émentaires</w:t>
      </w:r>
    </w:p>
    <w:p w14:paraId="3AD1CD87" w14:textId="5158FFCF" w:rsidR="00D77934" w:rsidRDefault="00DD01AA" w:rsidP="00DD01AA">
      <w:pPr>
        <w:pStyle w:val="Paragraphedeliste"/>
        <w:numPr>
          <w:ilvl w:val="0"/>
          <w:numId w:val="87"/>
        </w:numPr>
      </w:pPr>
      <w:r w:rsidRPr="00DD01AA">
        <w:rPr>
          <w:rFonts w:ascii="Aptos" w:hAnsi="Aptos"/>
          <w:color w:val="000000"/>
        </w:rPr>
        <w:t xml:space="preserve">Les salariés bénéficiant du statut de travailleur handicapé ne pourront se voir imposer des heures supplémentaires sans leur consentement préalable. </w:t>
      </w:r>
      <w:r w:rsidR="00E0034F" w:rsidRPr="005B32CB">
        <w:t xml:space="preserve"> </w:t>
      </w:r>
    </w:p>
    <w:p w14:paraId="23EA2A03" w14:textId="77777777" w:rsidR="006159E9" w:rsidRPr="008C7668" w:rsidRDefault="006159E9" w:rsidP="00AF67CA">
      <w:pPr>
        <w:pStyle w:val="Titre2"/>
        <w:spacing w:line="240" w:lineRule="auto"/>
        <w:rPr>
          <w:rFonts w:asciiTheme="minorHAnsi" w:eastAsiaTheme="minorHAnsi" w:hAnsiTheme="minorHAnsi" w:cstheme="minorBidi"/>
          <w:b/>
          <w:bCs/>
          <w:color w:val="auto"/>
          <w:sz w:val="22"/>
          <w:szCs w:val="22"/>
        </w:rPr>
      </w:pPr>
      <w:r w:rsidRPr="008C7668">
        <w:rPr>
          <w:rFonts w:asciiTheme="minorHAnsi" w:eastAsiaTheme="minorHAnsi" w:hAnsiTheme="minorHAnsi" w:cstheme="minorBidi"/>
          <w:b/>
          <w:bCs/>
          <w:color w:val="auto"/>
          <w:sz w:val="22"/>
          <w:szCs w:val="22"/>
        </w:rPr>
        <w:t>5. Proches aidants</w:t>
      </w:r>
      <w:r w:rsidRPr="008C7668">
        <w:rPr>
          <w:rFonts w:ascii="Arial" w:eastAsiaTheme="minorHAnsi" w:hAnsi="Arial" w:cs="Arial"/>
          <w:b/>
          <w:bCs/>
          <w:color w:val="auto"/>
          <w:sz w:val="22"/>
          <w:szCs w:val="22"/>
        </w:rPr>
        <w:t> </w:t>
      </w:r>
      <w:r w:rsidRPr="008C7668">
        <w:rPr>
          <w:rFonts w:asciiTheme="minorHAnsi" w:eastAsiaTheme="minorHAnsi" w:hAnsiTheme="minorHAnsi" w:cstheme="minorBidi"/>
          <w:b/>
          <w:bCs/>
          <w:color w:val="auto"/>
          <w:sz w:val="22"/>
          <w:szCs w:val="22"/>
        </w:rPr>
        <w:t>: pour une reconnaissance progressive</w:t>
      </w:r>
    </w:p>
    <w:p w14:paraId="695A76A6" w14:textId="77777777" w:rsidR="006159E9" w:rsidRDefault="006159E9" w:rsidP="00AF67CA">
      <w:pPr>
        <w:spacing w:line="240" w:lineRule="auto"/>
        <w:rPr>
          <w:rFonts w:eastAsiaTheme="minorEastAsia"/>
        </w:rPr>
      </w:pPr>
      <w:r>
        <w:t>La question des proches aidants est reconnue, mais elle demeure peu structurée dans les accords existants.</w:t>
      </w:r>
    </w:p>
    <w:p w14:paraId="4E86BC09" w14:textId="16CBE4A9" w:rsidR="006159E9" w:rsidRDefault="006159E9" w:rsidP="00AF67CA">
      <w:pPr>
        <w:spacing w:line="240" w:lineRule="auto"/>
      </w:pPr>
      <w:r>
        <w:rPr>
          <w:b/>
          <w:bCs/>
        </w:rPr>
        <w:t>Propositions CGT :</w:t>
      </w:r>
    </w:p>
    <w:p w14:paraId="21E8772B" w14:textId="77777777" w:rsidR="006159E9" w:rsidRDefault="006159E9" w:rsidP="00AF67CA">
      <w:pPr>
        <w:numPr>
          <w:ilvl w:val="0"/>
          <w:numId w:val="77"/>
        </w:numPr>
        <w:spacing w:line="240" w:lineRule="auto"/>
        <w:rPr>
          <w:rFonts w:eastAsia="Times New Roman"/>
        </w:rPr>
      </w:pPr>
      <w:r>
        <w:rPr>
          <w:rFonts w:eastAsia="Times New Roman"/>
        </w:rPr>
        <w:t>Reconnaître les proches aidants comme public identifié dans l’accord Handicap.</w:t>
      </w:r>
    </w:p>
    <w:p w14:paraId="6E30748D" w14:textId="77777777" w:rsidR="006159E9" w:rsidRDefault="006159E9" w:rsidP="00AF67CA">
      <w:pPr>
        <w:numPr>
          <w:ilvl w:val="0"/>
          <w:numId w:val="77"/>
        </w:numPr>
        <w:spacing w:line="240" w:lineRule="auto"/>
        <w:rPr>
          <w:rFonts w:eastAsia="Times New Roman"/>
        </w:rPr>
      </w:pPr>
      <w:r>
        <w:rPr>
          <w:rFonts w:eastAsia="Times New Roman"/>
        </w:rPr>
        <w:t>Faciliter l’accès prioritaire aux dispositifs existants</w:t>
      </w:r>
      <w:r>
        <w:rPr>
          <w:rFonts w:ascii="Arial" w:eastAsia="Times New Roman" w:hAnsi="Arial" w:cs="Arial"/>
        </w:rPr>
        <w:t> </w:t>
      </w:r>
      <w:r>
        <w:rPr>
          <w:rFonts w:eastAsia="Times New Roman"/>
        </w:rPr>
        <w:t>: t</w:t>
      </w:r>
      <w:r>
        <w:rPr>
          <w:rFonts w:ascii="Aptos" w:eastAsia="Times New Roman" w:hAnsi="Aptos" w:cs="Aptos"/>
        </w:rPr>
        <w:t>é</w:t>
      </w:r>
      <w:r>
        <w:rPr>
          <w:rFonts w:eastAsia="Times New Roman"/>
        </w:rPr>
        <w:t>l</w:t>
      </w:r>
      <w:r>
        <w:rPr>
          <w:rFonts w:ascii="Aptos" w:eastAsia="Times New Roman" w:hAnsi="Aptos" w:cs="Aptos"/>
        </w:rPr>
        <w:t>é</w:t>
      </w:r>
      <w:r>
        <w:rPr>
          <w:rFonts w:eastAsia="Times New Roman"/>
        </w:rPr>
        <w:t>travail, am</w:t>
      </w:r>
      <w:r>
        <w:rPr>
          <w:rFonts w:ascii="Aptos" w:eastAsia="Times New Roman" w:hAnsi="Aptos" w:cs="Aptos"/>
        </w:rPr>
        <w:t>é</w:t>
      </w:r>
      <w:r>
        <w:rPr>
          <w:rFonts w:eastAsia="Times New Roman"/>
        </w:rPr>
        <w:t>nagements horaires, CET.</w:t>
      </w:r>
    </w:p>
    <w:p w14:paraId="708B0274" w14:textId="46380C8A" w:rsidR="006950A2" w:rsidRDefault="006159E9" w:rsidP="00AF67CA">
      <w:pPr>
        <w:numPr>
          <w:ilvl w:val="0"/>
          <w:numId w:val="77"/>
        </w:numPr>
        <w:spacing w:line="240" w:lineRule="auto"/>
      </w:pPr>
      <w:r w:rsidRPr="00AF67CA">
        <w:rPr>
          <w:rFonts w:eastAsia="Times New Roman"/>
        </w:rPr>
        <w:t>Ouvrir un espace d’expérimentation pour de nouvelles mesures, à évaluer en Commission de Suivi.</w:t>
      </w:r>
    </w:p>
    <w:sectPr w:rsidR="006950A2" w:rsidSect="00ED01CA">
      <w:headerReference w:type="default" r:id="rId8"/>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E42F" w14:textId="77777777" w:rsidR="00A46459" w:rsidRDefault="00A46459" w:rsidP="00524DA1">
      <w:pPr>
        <w:spacing w:after="0" w:line="240" w:lineRule="auto"/>
      </w:pPr>
      <w:r>
        <w:separator/>
      </w:r>
    </w:p>
  </w:endnote>
  <w:endnote w:type="continuationSeparator" w:id="0">
    <w:p w14:paraId="4FB84AB7" w14:textId="77777777" w:rsidR="00A46459" w:rsidRDefault="00A46459" w:rsidP="0052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18872"/>
      <w:docPartObj>
        <w:docPartGallery w:val="Page Numbers (Bottom of Page)"/>
        <w:docPartUnique/>
      </w:docPartObj>
    </w:sdtPr>
    <w:sdtEndPr/>
    <w:sdtContent>
      <w:p w14:paraId="7223C219" w14:textId="08DCDF61" w:rsidR="00524DA1" w:rsidRDefault="00524DA1">
        <w:pPr>
          <w:pStyle w:val="Pieddepage"/>
          <w:jc w:val="right"/>
        </w:pPr>
        <w:r>
          <w:fldChar w:fldCharType="begin"/>
        </w:r>
        <w:r>
          <w:instrText>PAGE   \* MERGEFORMAT</w:instrText>
        </w:r>
        <w:r>
          <w:fldChar w:fldCharType="separate"/>
        </w:r>
        <w:r>
          <w:t>2</w:t>
        </w:r>
        <w:r>
          <w:fldChar w:fldCharType="end"/>
        </w:r>
      </w:p>
    </w:sdtContent>
  </w:sdt>
  <w:p w14:paraId="62361D55" w14:textId="77777777" w:rsidR="00524DA1" w:rsidRDefault="00524D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3F82" w14:textId="77777777" w:rsidR="00A46459" w:rsidRDefault="00A46459" w:rsidP="00524DA1">
      <w:pPr>
        <w:spacing w:after="0" w:line="240" w:lineRule="auto"/>
      </w:pPr>
      <w:r>
        <w:separator/>
      </w:r>
    </w:p>
  </w:footnote>
  <w:footnote w:type="continuationSeparator" w:id="0">
    <w:p w14:paraId="0D1A39A9" w14:textId="77777777" w:rsidR="00A46459" w:rsidRDefault="00A46459" w:rsidP="0052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DDF8" w14:textId="110C8459" w:rsidR="008A46C2" w:rsidRDefault="00216BE7">
    <w:pPr>
      <w:pStyle w:val="En-tte"/>
    </w:pPr>
    <w:r>
      <w:t>15 avril 2026</w:t>
    </w:r>
  </w:p>
  <w:p w14:paraId="0428DFC5" w14:textId="77777777" w:rsidR="008A46C2" w:rsidRDefault="008A46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150"/>
    <w:multiLevelType w:val="multilevel"/>
    <w:tmpl w:val="C1D6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86D87"/>
    <w:multiLevelType w:val="multilevel"/>
    <w:tmpl w:val="5A06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2BDE"/>
    <w:multiLevelType w:val="multilevel"/>
    <w:tmpl w:val="481A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18FF"/>
    <w:multiLevelType w:val="multilevel"/>
    <w:tmpl w:val="63CA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9F4"/>
    <w:multiLevelType w:val="multilevel"/>
    <w:tmpl w:val="FC9A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B1652"/>
    <w:multiLevelType w:val="multilevel"/>
    <w:tmpl w:val="DFB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54B86"/>
    <w:multiLevelType w:val="multilevel"/>
    <w:tmpl w:val="272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C3C9B"/>
    <w:multiLevelType w:val="multilevel"/>
    <w:tmpl w:val="75D2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D46F4"/>
    <w:multiLevelType w:val="multilevel"/>
    <w:tmpl w:val="A97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74E8D"/>
    <w:multiLevelType w:val="multilevel"/>
    <w:tmpl w:val="92A0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73D00"/>
    <w:multiLevelType w:val="multilevel"/>
    <w:tmpl w:val="F270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C080C"/>
    <w:multiLevelType w:val="multilevel"/>
    <w:tmpl w:val="BDE8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53851"/>
    <w:multiLevelType w:val="multilevel"/>
    <w:tmpl w:val="6C8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610D5"/>
    <w:multiLevelType w:val="multilevel"/>
    <w:tmpl w:val="E35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10EBE"/>
    <w:multiLevelType w:val="multilevel"/>
    <w:tmpl w:val="85E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7239B"/>
    <w:multiLevelType w:val="multilevel"/>
    <w:tmpl w:val="6EC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562B8F"/>
    <w:multiLevelType w:val="multilevel"/>
    <w:tmpl w:val="7236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C21A33"/>
    <w:multiLevelType w:val="multilevel"/>
    <w:tmpl w:val="B8A2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8010AA"/>
    <w:multiLevelType w:val="multilevel"/>
    <w:tmpl w:val="F85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1F7582"/>
    <w:multiLevelType w:val="multilevel"/>
    <w:tmpl w:val="81CE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EE0DA9"/>
    <w:multiLevelType w:val="multilevel"/>
    <w:tmpl w:val="903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655510"/>
    <w:multiLevelType w:val="multilevel"/>
    <w:tmpl w:val="421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755705"/>
    <w:multiLevelType w:val="multilevel"/>
    <w:tmpl w:val="642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E21CC2"/>
    <w:multiLevelType w:val="multilevel"/>
    <w:tmpl w:val="DED4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5D5A37"/>
    <w:multiLevelType w:val="multilevel"/>
    <w:tmpl w:val="8A6E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D217B7"/>
    <w:multiLevelType w:val="multilevel"/>
    <w:tmpl w:val="0B42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603B0C"/>
    <w:multiLevelType w:val="multilevel"/>
    <w:tmpl w:val="0B5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A92A0D"/>
    <w:multiLevelType w:val="multilevel"/>
    <w:tmpl w:val="F20A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DF3E20"/>
    <w:multiLevelType w:val="multilevel"/>
    <w:tmpl w:val="195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627CDF"/>
    <w:multiLevelType w:val="multilevel"/>
    <w:tmpl w:val="8F1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E20136"/>
    <w:multiLevelType w:val="multilevel"/>
    <w:tmpl w:val="58A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135E0E"/>
    <w:multiLevelType w:val="multilevel"/>
    <w:tmpl w:val="272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05447B"/>
    <w:multiLevelType w:val="multilevel"/>
    <w:tmpl w:val="F066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242609"/>
    <w:multiLevelType w:val="multilevel"/>
    <w:tmpl w:val="AF52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284B92"/>
    <w:multiLevelType w:val="multilevel"/>
    <w:tmpl w:val="D31A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CE72A2"/>
    <w:multiLevelType w:val="multilevel"/>
    <w:tmpl w:val="2570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3547A9"/>
    <w:multiLevelType w:val="multilevel"/>
    <w:tmpl w:val="D58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8E7E13"/>
    <w:multiLevelType w:val="multilevel"/>
    <w:tmpl w:val="F91E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E861BE"/>
    <w:multiLevelType w:val="multilevel"/>
    <w:tmpl w:val="EBE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2A02B2"/>
    <w:multiLevelType w:val="multilevel"/>
    <w:tmpl w:val="175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7E1BC4"/>
    <w:multiLevelType w:val="multilevel"/>
    <w:tmpl w:val="EBB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B969F3"/>
    <w:multiLevelType w:val="multilevel"/>
    <w:tmpl w:val="D9C0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E72824"/>
    <w:multiLevelType w:val="multilevel"/>
    <w:tmpl w:val="72F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D25A97"/>
    <w:multiLevelType w:val="multilevel"/>
    <w:tmpl w:val="39BC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3B2E02"/>
    <w:multiLevelType w:val="multilevel"/>
    <w:tmpl w:val="86E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654EED"/>
    <w:multiLevelType w:val="multilevel"/>
    <w:tmpl w:val="5BEA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D87FEF"/>
    <w:multiLevelType w:val="multilevel"/>
    <w:tmpl w:val="9C2C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4A3CC6"/>
    <w:multiLevelType w:val="multilevel"/>
    <w:tmpl w:val="784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2513A7"/>
    <w:multiLevelType w:val="multilevel"/>
    <w:tmpl w:val="42A2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1D164F"/>
    <w:multiLevelType w:val="multilevel"/>
    <w:tmpl w:val="EF9C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F659D0"/>
    <w:multiLevelType w:val="multilevel"/>
    <w:tmpl w:val="99C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103EC0"/>
    <w:multiLevelType w:val="multilevel"/>
    <w:tmpl w:val="0408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3F2DA6"/>
    <w:multiLevelType w:val="multilevel"/>
    <w:tmpl w:val="081C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4523F9"/>
    <w:multiLevelType w:val="multilevel"/>
    <w:tmpl w:val="6CA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E76A1A"/>
    <w:multiLevelType w:val="multilevel"/>
    <w:tmpl w:val="8444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C95269"/>
    <w:multiLevelType w:val="multilevel"/>
    <w:tmpl w:val="98B0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182C59"/>
    <w:multiLevelType w:val="multilevel"/>
    <w:tmpl w:val="3448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857C15"/>
    <w:multiLevelType w:val="multilevel"/>
    <w:tmpl w:val="0CC0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9F3D2A"/>
    <w:multiLevelType w:val="multilevel"/>
    <w:tmpl w:val="7AC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3202F2"/>
    <w:multiLevelType w:val="multilevel"/>
    <w:tmpl w:val="4E0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97322B"/>
    <w:multiLevelType w:val="multilevel"/>
    <w:tmpl w:val="9D76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A17F71"/>
    <w:multiLevelType w:val="multilevel"/>
    <w:tmpl w:val="C3F0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F6757F"/>
    <w:multiLevelType w:val="multilevel"/>
    <w:tmpl w:val="D58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89358F"/>
    <w:multiLevelType w:val="multilevel"/>
    <w:tmpl w:val="CAF8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B658BD"/>
    <w:multiLevelType w:val="multilevel"/>
    <w:tmpl w:val="2AAC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BF1806"/>
    <w:multiLevelType w:val="multilevel"/>
    <w:tmpl w:val="A3A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4331C1"/>
    <w:multiLevelType w:val="multilevel"/>
    <w:tmpl w:val="E9F4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4552C2"/>
    <w:multiLevelType w:val="multilevel"/>
    <w:tmpl w:val="4D9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4C76EB"/>
    <w:multiLevelType w:val="multilevel"/>
    <w:tmpl w:val="EF26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7816C5"/>
    <w:multiLevelType w:val="multilevel"/>
    <w:tmpl w:val="82B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8029E3"/>
    <w:multiLevelType w:val="multilevel"/>
    <w:tmpl w:val="24B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CF4A4F"/>
    <w:multiLevelType w:val="multilevel"/>
    <w:tmpl w:val="0388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F918AF"/>
    <w:multiLevelType w:val="multilevel"/>
    <w:tmpl w:val="29B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D108CB"/>
    <w:multiLevelType w:val="multilevel"/>
    <w:tmpl w:val="1E7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3B678F"/>
    <w:multiLevelType w:val="multilevel"/>
    <w:tmpl w:val="283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813D4D"/>
    <w:multiLevelType w:val="multilevel"/>
    <w:tmpl w:val="FFD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514917"/>
    <w:multiLevelType w:val="multilevel"/>
    <w:tmpl w:val="77C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7112A9"/>
    <w:multiLevelType w:val="multilevel"/>
    <w:tmpl w:val="24C4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C3610E"/>
    <w:multiLevelType w:val="multilevel"/>
    <w:tmpl w:val="2D2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4B3C4A"/>
    <w:multiLevelType w:val="multilevel"/>
    <w:tmpl w:val="58B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225F4F"/>
    <w:multiLevelType w:val="multilevel"/>
    <w:tmpl w:val="6F04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FF5E86"/>
    <w:multiLevelType w:val="multilevel"/>
    <w:tmpl w:val="F85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C7743E"/>
    <w:multiLevelType w:val="multilevel"/>
    <w:tmpl w:val="876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143CD3"/>
    <w:multiLevelType w:val="multilevel"/>
    <w:tmpl w:val="5828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0811F4"/>
    <w:multiLevelType w:val="multilevel"/>
    <w:tmpl w:val="D61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F54C5A"/>
    <w:multiLevelType w:val="hybridMultilevel"/>
    <w:tmpl w:val="905EF87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6" w15:restartNumberingAfterBreak="0">
    <w:nsid w:val="7C330548"/>
    <w:multiLevelType w:val="multilevel"/>
    <w:tmpl w:val="941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539668">
    <w:abstractNumId w:val="75"/>
  </w:num>
  <w:num w:numId="2" w16cid:durableId="200823603">
    <w:abstractNumId w:val="56"/>
  </w:num>
  <w:num w:numId="3" w16cid:durableId="952596915">
    <w:abstractNumId w:val="13"/>
  </w:num>
  <w:num w:numId="4" w16cid:durableId="1649817254">
    <w:abstractNumId w:val="25"/>
  </w:num>
  <w:num w:numId="5" w16cid:durableId="36518119">
    <w:abstractNumId w:val="52"/>
  </w:num>
  <w:num w:numId="6" w16cid:durableId="82798048">
    <w:abstractNumId w:val="37"/>
  </w:num>
  <w:num w:numId="7" w16cid:durableId="1352609560">
    <w:abstractNumId w:val="0"/>
  </w:num>
  <w:num w:numId="8" w16cid:durableId="945040594">
    <w:abstractNumId w:val="66"/>
  </w:num>
  <w:num w:numId="9" w16cid:durableId="987130804">
    <w:abstractNumId w:val="44"/>
  </w:num>
  <w:num w:numId="10" w16cid:durableId="1366904452">
    <w:abstractNumId w:val="17"/>
  </w:num>
  <w:num w:numId="11" w16cid:durableId="1827361565">
    <w:abstractNumId w:val="59"/>
  </w:num>
  <w:num w:numId="12" w16cid:durableId="387801508">
    <w:abstractNumId w:val="45"/>
  </w:num>
  <w:num w:numId="13" w16cid:durableId="1931112132">
    <w:abstractNumId w:val="32"/>
  </w:num>
  <w:num w:numId="14" w16cid:durableId="675302280">
    <w:abstractNumId w:val="28"/>
  </w:num>
  <w:num w:numId="15" w16cid:durableId="856190405">
    <w:abstractNumId w:val="68"/>
  </w:num>
  <w:num w:numId="16" w16cid:durableId="89815588">
    <w:abstractNumId w:val="70"/>
  </w:num>
  <w:num w:numId="17" w16cid:durableId="1500341785">
    <w:abstractNumId w:val="6"/>
  </w:num>
  <w:num w:numId="18" w16cid:durableId="432092451">
    <w:abstractNumId w:val="21"/>
  </w:num>
  <w:num w:numId="19" w16cid:durableId="656806092">
    <w:abstractNumId w:val="50"/>
  </w:num>
  <w:num w:numId="20" w16cid:durableId="831330702">
    <w:abstractNumId w:val="19"/>
  </w:num>
  <w:num w:numId="21" w16cid:durableId="234513584">
    <w:abstractNumId w:val="23"/>
  </w:num>
  <w:num w:numId="22" w16cid:durableId="1238323790">
    <w:abstractNumId w:val="84"/>
  </w:num>
  <w:num w:numId="23" w16cid:durableId="327635823">
    <w:abstractNumId w:val="43"/>
  </w:num>
  <w:num w:numId="24" w16cid:durableId="664623992">
    <w:abstractNumId w:val="3"/>
  </w:num>
  <w:num w:numId="25" w16cid:durableId="1227032592">
    <w:abstractNumId w:val="55"/>
  </w:num>
  <w:num w:numId="26" w16cid:durableId="995183429">
    <w:abstractNumId w:val="2"/>
  </w:num>
  <w:num w:numId="27" w16cid:durableId="2000647426">
    <w:abstractNumId w:val="57"/>
  </w:num>
  <w:num w:numId="28" w16cid:durableId="1275790873">
    <w:abstractNumId w:val="34"/>
  </w:num>
  <w:num w:numId="29" w16cid:durableId="1527794587">
    <w:abstractNumId w:val="64"/>
  </w:num>
  <w:num w:numId="30" w16cid:durableId="1072894612">
    <w:abstractNumId w:val="35"/>
  </w:num>
  <w:num w:numId="31" w16cid:durableId="1845975622">
    <w:abstractNumId w:val="14"/>
  </w:num>
  <w:num w:numId="32" w16cid:durableId="977955813">
    <w:abstractNumId w:val="39"/>
  </w:num>
  <w:num w:numId="33" w16cid:durableId="949898071">
    <w:abstractNumId w:val="1"/>
  </w:num>
  <w:num w:numId="34" w16cid:durableId="62021866">
    <w:abstractNumId w:val="15"/>
  </w:num>
  <w:num w:numId="35" w16cid:durableId="402801527">
    <w:abstractNumId w:val="11"/>
  </w:num>
  <w:num w:numId="36" w16cid:durableId="1507090385">
    <w:abstractNumId w:val="76"/>
  </w:num>
  <w:num w:numId="37" w16cid:durableId="527134987">
    <w:abstractNumId w:val="63"/>
  </w:num>
  <w:num w:numId="38" w16cid:durableId="34433588">
    <w:abstractNumId w:val="86"/>
  </w:num>
  <w:num w:numId="39" w16cid:durableId="842477191">
    <w:abstractNumId w:val="47"/>
  </w:num>
  <w:num w:numId="40" w16cid:durableId="460534097">
    <w:abstractNumId w:val="42"/>
  </w:num>
  <w:num w:numId="41" w16cid:durableId="326860156">
    <w:abstractNumId w:val="33"/>
  </w:num>
  <w:num w:numId="42" w16cid:durableId="1312364391">
    <w:abstractNumId w:val="16"/>
  </w:num>
  <w:num w:numId="43" w16cid:durableId="196503490">
    <w:abstractNumId w:val="74"/>
  </w:num>
  <w:num w:numId="44" w16cid:durableId="1743136963">
    <w:abstractNumId w:val="4"/>
  </w:num>
  <w:num w:numId="45" w16cid:durableId="1851336973">
    <w:abstractNumId w:val="78"/>
  </w:num>
  <w:num w:numId="46" w16cid:durableId="643776376">
    <w:abstractNumId w:val="53"/>
  </w:num>
  <w:num w:numId="47" w16cid:durableId="572279321">
    <w:abstractNumId w:val="82"/>
  </w:num>
  <w:num w:numId="48" w16cid:durableId="1265991429">
    <w:abstractNumId w:val="22"/>
  </w:num>
  <w:num w:numId="49" w16cid:durableId="679895166">
    <w:abstractNumId w:val="18"/>
  </w:num>
  <w:num w:numId="50" w16cid:durableId="400063154">
    <w:abstractNumId w:val="5"/>
  </w:num>
  <w:num w:numId="51" w16cid:durableId="821510544">
    <w:abstractNumId w:val="49"/>
  </w:num>
  <w:num w:numId="52" w16cid:durableId="56974375">
    <w:abstractNumId w:val="72"/>
  </w:num>
  <w:num w:numId="53" w16cid:durableId="1274051464">
    <w:abstractNumId w:val="48"/>
  </w:num>
  <w:num w:numId="54" w16cid:durableId="827937608">
    <w:abstractNumId w:val="51"/>
  </w:num>
  <w:num w:numId="55" w16cid:durableId="1922446605">
    <w:abstractNumId w:val="79"/>
  </w:num>
  <w:num w:numId="56" w16cid:durableId="1278214880">
    <w:abstractNumId w:val="12"/>
  </w:num>
  <w:num w:numId="57" w16cid:durableId="1496725797">
    <w:abstractNumId w:val="26"/>
  </w:num>
  <w:num w:numId="58" w16cid:durableId="1989433572">
    <w:abstractNumId w:val="69"/>
  </w:num>
  <w:num w:numId="59" w16cid:durableId="1978602522">
    <w:abstractNumId w:val="38"/>
  </w:num>
  <w:num w:numId="60" w16cid:durableId="2046514844">
    <w:abstractNumId w:val="58"/>
  </w:num>
  <w:num w:numId="61" w16cid:durableId="550271808">
    <w:abstractNumId w:val="8"/>
  </w:num>
  <w:num w:numId="62" w16cid:durableId="2072265703">
    <w:abstractNumId w:val="10"/>
  </w:num>
  <w:num w:numId="63" w16cid:durableId="813647497">
    <w:abstractNumId w:val="77"/>
  </w:num>
  <w:num w:numId="64" w16cid:durableId="393239544">
    <w:abstractNumId w:val="83"/>
  </w:num>
  <w:num w:numId="65" w16cid:durableId="1161583942">
    <w:abstractNumId w:val="29"/>
  </w:num>
  <w:num w:numId="66" w16cid:durableId="1838883332">
    <w:abstractNumId w:val="24"/>
  </w:num>
  <w:num w:numId="67" w16cid:durableId="1368413124">
    <w:abstractNumId w:val="7"/>
  </w:num>
  <w:num w:numId="68" w16cid:durableId="702444805">
    <w:abstractNumId w:val="71"/>
  </w:num>
  <w:num w:numId="69" w16cid:durableId="1964573620">
    <w:abstractNumId w:val="41"/>
  </w:num>
  <w:num w:numId="70" w16cid:durableId="116682719">
    <w:abstractNumId w:val="65"/>
  </w:num>
  <w:num w:numId="71" w16cid:durableId="1477071423">
    <w:abstractNumId w:val="30"/>
  </w:num>
  <w:num w:numId="72" w16cid:durableId="1098254613">
    <w:abstractNumId w:val="67"/>
  </w:num>
  <w:num w:numId="73" w16cid:durableId="1484615869">
    <w:abstractNumId w:val="31"/>
  </w:num>
  <w:num w:numId="74" w16cid:durableId="87386492">
    <w:abstractNumId w:val="54"/>
  </w:num>
  <w:num w:numId="75" w16cid:durableId="287518140">
    <w:abstractNumId w:val="60"/>
  </w:num>
  <w:num w:numId="76" w16cid:durableId="725497628">
    <w:abstractNumId w:val="61"/>
  </w:num>
  <w:num w:numId="77" w16cid:durableId="1200825103">
    <w:abstractNumId w:val="9"/>
  </w:num>
  <w:num w:numId="78" w16cid:durableId="2011252101">
    <w:abstractNumId w:val="73"/>
  </w:num>
  <w:num w:numId="79" w16cid:durableId="356782100">
    <w:abstractNumId w:val="20"/>
  </w:num>
  <w:num w:numId="80" w16cid:durableId="329522482">
    <w:abstractNumId w:val="27"/>
  </w:num>
  <w:num w:numId="81" w16cid:durableId="12536259">
    <w:abstractNumId w:val="40"/>
  </w:num>
  <w:num w:numId="82" w16cid:durableId="224875673">
    <w:abstractNumId w:val="62"/>
  </w:num>
  <w:num w:numId="83" w16cid:durableId="1800568733">
    <w:abstractNumId w:val="46"/>
  </w:num>
  <w:num w:numId="84" w16cid:durableId="1432162302">
    <w:abstractNumId w:val="81"/>
  </w:num>
  <w:num w:numId="85" w16cid:durableId="1807969145">
    <w:abstractNumId w:val="80"/>
  </w:num>
  <w:num w:numId="86" w16cid:durableId="1925652292">
    <w:abstractNumId w:val="85"/>
  </w:num>
  <w:num w:numId="87" w16cid:durableId="18643171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A1"/>
    <w:rsid w:val="00161CB4"/>
    <w:rsid w:val="001656AF"/>
    <w:rsid w:val="001C30E8"/>
    <w:rsid w:val="00216BE7"/>
    <w:rsid w:val="003036A9"/>
    <w:rsid w:val="00332955"/>
    <w:rsid w:val="003356A7"/>
    <w:rsid w:val="003575E8"/>
    <w:rsid w:val="00362D2C"/>
    <w:rsid w:val="00412198"/>
    <w:rsid w:val="00474C59"/>
    <w:rsid w:val="004F6B31"/>
    <w:rsid w:val="00503CD6"/>
    <w:rsid w:val="00524DA1"/>
    <w:rsid w:val="005C1B1F"/>
    <w:rsid w:val="005F0365"/>
    <w:rsid w:val="006159E9"/>
    <w:rsid w:val="00633640"/>
    <w:rsid w:val="00671979"/>
    <w:rsid w:val="006950A2"/>
    <w:rsid w:val="006D09C7"/>
    <w:rsid w:val="006D4554"/>
    <w:rsid w:val="006D73DA"/>
    <w:rsid w:val="0071331A"/>
    <w:rsid w:val="00741F9A"/>
    <w:rsid w:val="007844BF"/>
    <w:rsid w:val="007C078C"/>
    <w:rsid w:val="007D1A73"/>
    <w:rsid w:val="00885978"/>
    <w:rsid w:val="00886A62"/>
    <w:rsid w:val="008A46C2"/>
    <w:rsid w:val="008C7668"/>
    <w:rsid w:val="00926102"/>
    <w:rsid w:val="00980C0C"/>
    <w:rsid w:val="009E25A0"/>
    <w:rsid w:val="009F643F"/>
    <w:rsid w:val="00A22DAE"/>
    <w:rsid w:val="00A31789"/>
    <w:rsid w:val="00A46459"/>
    <w:rsid w:val="00A94E3A"/>
    <w:rsid w:val="00AC23CB"/>
    <w:rsid w:val="00AF67CA"/>
    <w:rsid w:val="00B37BC5"/>
    <w:rsid w:val="00B50C7C"/>
    <w:rsid w:val="00B80989"/>
    <w:rsid w:val="00BA0E49"/>
    <w:rsid w:val="00BC363C"/>
    <w:rsid w:val="00C66432"/>
    <w:rsid w:val="00C71A70"/>
    <w:rsid w:val="00D33D26"/>
    <w:rsid w:val="00D77934"/>
    <w:rsid w:val="00DD01AA"/>
    <w:rsid w:val="00DE748D"/>
    <w:rsid w:val="00E0034F"/>
    <w:rsid w:val="00E8322B"/>
    <w:rsid w:val="00ED01CA"/>
    <w:rsid w:val="00EE3A40"/>
    <w:rsid w:val="00F32FC8"/>
    <w:rsid w:val="00F668FE"/>
    <w:rsid w:val="00F97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994"/>
  <w15:chartTrackingRefBased/>
  <w15:docId w15:val="{6BB0657F-F911-4D36-B379-AC9973F5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2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4D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4D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4D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4D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4D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4D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4D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4D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4D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4D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4D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4D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4D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4D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4D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4DA1"/>
    <w:rPr>
      <w:rFonts w:eastAsiaTheme="majorEastAsia" w:cstheme="majorBidi"/>
      <w:color w:val="272727" w:themeColor="text1" w:themeTint="D8"/>
    </w:rPr>
  </w:style>
  <w:style w:type="paragraph" w:styleId="Titre">
    <w:name w:val="Title"/>
    <w:basedOn w:val="Normal"/>
    <w:next w:val="Normal"/>
    <w:link w:val="TitreCar"/>
    <w:uiPriority w:val="10"/>
    <w:qFormat/>
    <w:rsid w:val="0052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4D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4D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4D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4DA1"/>
    <w:pPr>
      <w:spacing w:before="160"/>
      <w:jc w:val="center"/>
    </w:pPr>
    <w:rPr>
      <w:i/>
      <w:iCs/>
      <w:color w:val="404040" w:themeColor="text1" w:themeTint="BF"/>
    </w:rPr>
  </w:style>
  <w:style w:type="character" w:customStyle="1" w:styleId="CitationCar">
    <w:name w:val="Citation Car"/>
    <w:basedOn w:val="Policepardfaut"/>
    <w:link w:val="Citation"/>
    <w:uiPriority w:val="29"/>
    <w:rsid w:val="00524DA1"/>
    <w:rPr>
      <w:i/>
      <w:iCs/>
      <w:color w:val="404040" w:themeColor="text1" w:themeTint="BF"/>
    </w:rPr>
  </w:style>
  <w:style w:type="paragraph" w:styleId="Paragraphedeliste">
    <w:name w:val="List Paragraph"/>
    <w:basedOn w:val="Normal"/>
    <w:uiPriority w:val="34"/>
    <w:qFormat/>
    <w:rsid w:val="00524DA1"/>
    <w:pPr>
      <w:ind w:left="720"/>
      <w:contextualSpacing/>
    </w:pPr>
  </w:style>
  <w:style w:type="character" w:styleId="Accentuationintense">
    <w:name w:val="Intense Emphasis"/>
    <w:basedOn w:val="Policepardfaut"/>
    <w:uiPriority w:val="21"/>
    <w:qFormat/>
    <w:rsid w:val="00524DA1"/>
    <w:rPr>
      <w:i/>
      <w:iCs/>
      <w:color w:val="0F4761" w:themeColor="accent1" w:themeShade="BF"/>
    </w:rPr>
  </w:style>
  <w:style w:type="paragraph" w:styleId="Citationintense">
    <w:name w:val="Intense Quote"/>
    <w:basedOn w:val="Normal"/>
    <w:next w:val="Normal"/>
    <w:link w:val="CitationintenseCar"/>
    <w:uiPriority w:val="30"/>
    <w:qFormat/>
    <w:rsid w:val="0052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4DA1"/>
    <w:rPr>
      <w:i/>
      <w:iCs/>
      <w:color w:val="0F4761" w:themeColor="accent1" w:themeShade="BF"/>
    </w:rPr>
  </w:style>
  <w:style w:type="character" w:styleId="Rfrenceintense">
    <w:name w:val="Intense Reference"/>
    <w:basedOn w:val="Policepardfaut"/>
    <w:uiPriority w:val="32"/>
    <w:qFormat/>
    <w:rsid w:val="00524DA1"/>
    <w:rPr>
      <w:b/>
      <w:bCs/>
      <w:smallCaps/>
      <w:color w:val="0F4761" w:themeColor="accent1" w:themeShade="BF"/>
      <w:spacing w:val="5"/>
    </w:rPr>
  </w:style>
  <w:style w:type="paragraph" w:styleId="En-tte">
    <w:name w:val="header"/>
    <w:basedOn w:val="Normal"/>
    <w:link w:val="En-tteCar"/>
    <w:uiPriority w:val="99"/>
    <w:unhideWhenUsed/>
    <w:rsid w:val="00524DA1"/>
    <w:pPr>
      <w:tabs>
        <w:tab w:val="center" w:pos="4536"/>
        <w:tab w:val="right" w:pos="9072"/>
      </w:tabs>
      <w:spacing w:after="0" w:line="240" w:lineRule="auto"/>
    </w:pPr>
  </w:style>
  <w:style w:type="character" w:customStyle="1" w:styleId="En-tteCar">
    <w:name w:val="En-tête Car"/>
    <w:basedOn w:val="Policepardfaut"/>
    <w:link w:val="En-tte"/>
    <w:uiPriority w:val="99"/>
    <w:rsid w:val="00524DA1"/>
  </w:style>
  <w:style w:type="paragraph" w:styleId="Pieddepage">
    <w:name w:val="footer"/>
    <w:basedOn w:val="Normal"/>
    <w:link w:val="PieddepageCar"/>
    <w:uiPriority w:val="99"/>
    <w:unhideWhenUsed/>
    <w:rsid w:val="00524D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DA1"/>
  </w:style>
  <w:style w:type="paragraph" w:styleId="Sansinterligne">
    <w:name w:val="No Spacing"/>
    <w:uiPriority w:val="1"/>
    <w:qFormat/>
    <w:rsid w:val="00AF6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537</Words>
  <Characters>3512</Characters>
  <Application>Microsoft Office Word</Application>
  <DocSecurity>0</DocSecurity>
  <Lines>121</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Lucatelli</dc:creator>
  <cp:keywords/>
  <dc:description/>
  <cp:lastModifiedBy>Giuseppe Lucatelli</cp:lastModifiedBy>
  <cp:revision>52</cp:revision>
  <dcterms:created xsi:type="dcterms:W3CDTF">2026-04-13T12:59:00Z</dcterms:created>
  <dcterms:modified xsi:type="dcterms:W3CDTF">2026-04-15T13:19:00Z</dcterms:modified>
</cp:coreProperties>
</file>