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5B437" w14:textId="5195E916" w:rsidR="005F2BB0" w:rsidRPr="002B55D2" w:rsidRDefault="00373593" w:rsidP="005F2BB0">
      <w:pPr>
        <w:rPr>
          <w:rFonts w:ascii="Aptos" w:hAnsi="Aptos"/>
          <w:color w:val="000000"/>
        </w:rPr>
      </w:pPr>
      <w:r>
        <w:rPr>
          <w:b/>
          <w:bCs/>
          <w:noProof/>
        </w:rPr>
        <w:drawing>
          <wp:inline distT="0" distB="0" distL="0" distR="0" wp14:anchorId="7F1BD624" wp14:editId="69F32B85">
            <wp:extent cx="1408193" cy="894443"/>
            <wp:effectExtent l="0" t="0" r="1905" b="1270"/>
            <wp:docPr id="13175050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05019" name="Image 13175050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23948" cy="904450"/>
                    </a:xfrm>
                    <a:prstGeom prst="rect">
                      <a:avLst/>
                    </a:prstGeom>
                  </pic:spPr>
                </pic:pic>
              </a:graphicData>
            </a:graphic>
          </wp:inline>
        </w:drawing>
      </w:r>
    </w:p>
    <w:p w14:paraId="67852001" w14:textId="647956CD" w:rsidR="00203F86" w:rsidRPr="002B55D2" w:rsidRDefault="005F2BB0" w:rsidP="00203F86">
      <w:pPr>
        <w:pStyle w:val="Citationintense"/>
      </w:pPr>
      <w:r w:rsidRPr="002B55D2">
        <w:t>COMPTE-RENDU – COMMISSION DE SUIVI HANDICAP</w:t>
      </w:r>
      <w:r w:rsidR="00203F86" w:rsidRPr="00203F86">
        <w:t xml:space="preserve"> </w:t>
      </w:r>
      <w:r w:rsidR="00203F86" w:rsidRPr="002B55D2">
        <w:t xml:space="preserve">Stellantis &amp;You France SAS – Accord Handicap 2023-2025 </w:t>
      </w:r>
      <w:r w:rsidR="00203F86" w:rsidRPr="002B55D2">
        <w:br/>
        <w:t>Séance du 15 avril 2026</w:t>
      </w:r>
    </w:p>
    <w:p w14:paraId="7929B40E" w14:textId="77777777" w:rsidR="00203F86" w:rsidRPr="002B55D2" w:rsidRDefault="00203F86" w:rsidP="00203F86">
      <w:pPr>
        <w:rPr>
          <w:rFonts w:ascii="Aptos" w:hAnsi="Aptos"/>
          <w:color w:val="000000"/>
        </w:rPr>
      </w:pPr>
    </w:p>
    <w:p w14:paraId="366F8D56" w14:textId="77777777" w:rsidR="001C1214" w:rsidRDefault="001C1214">
      <w:pPr>
        <w:rPr>
          <w:lang w:eastAsia="fr-FR"/>
        </w:rPr>
      </w:pPr>
      <w:r>
        <w:rPr>
          <w:b/>
          <w:bCs/>
        </w:rPr>
        <w:t>Face à l’urgence d’une société réellement inclusive, nous refusons que le handicap reste un angle mort. L’égalité des droits et des chances n’est pas un slogan : c’est une obligation morale, sociale et professionnelle, qui exige des moyens, des actes et des résultats.</w:t>
      </w:r>
    </w:p>
    <w:p w14:paraId="33AA63E7" w14:textId="77777777" w:rsidR="001C1214" w:rsidRDefault="001C1214">
      <w:pPr>
        <w:rPr>
          <w:lang w:eastAsia="fr-FR"/>
        </w:rPr>
      </w:pPr>
      <w:r>
        <w:t>Au-delà des chiffres et des obligations réglementaires, l’inclusion des personnes en situation de handicap se gagne au quotidien : par des recrutements volontaristes, des parcours sécurisés, des aménagements rapides, et une tolérance zéro face aux discriminations, aux freins organisationnels et aux non-dits. Se mobiliser pour l’emploi des travailleurs handicapés, c’est défendre une entreprise qui assume ses responsabilités, qui protège les plus fragiles et qui fait de la diversité une force concrète, pas une variable d’ajustement.</w:t>
      </w:r>
    </w:p>
    <w:p w14:paraId="58C2087D" w14:textId="77777777" w:rsidR="005F2BB0" w:rsidRPr="002B55D2" w:rsidRDefault="005F2BB0" w:rsidP="005F2BB0">
      <w:pPr>
        <w:rPr>
          <w:rFonts w:ascii="Aptos" w:hAnsi="Aptos"/>
          <w:b/>
          <w:bCs/>
          <w:color w:val="000000"/>
        </w:rPr>
      </w:pPr>
      <w:r w:rsidRPr="002B55D2">
        <w:rPr>
          <w:rFonts w:ascii="Aptos" w:hAnsi="Aptos"/>
          <w:b/>
          <w:bCs/>
          <w:color w:val="000000"/>
        </w:rPr>
        <w:t>1. Introduction</w:t>
      </w:r>
    </w:p>
    <w:p w14:paraId="26FEC457" w14:textId="77777777" w:rsidR="001C1214" w:rsidRDefault="001C1214">
      <w:pPr>
        <w:rPr>
          <w:lang w:eastAsia="fr-FR"/>
        </w:rPr>
      </w:pPr>
      <w:r>
        <w:rPr>
          <w:color w:val="000000"/>
        </w:rPr>
        <w:t xml:space="preserve">La réunion de la Commission de Suivi Handicap s’est tenue le </w:t>
      </w:r>
      <w:r>
        <w:rPr>
          <w:b/>
          <w:bCs/>
          <w:color w:val="000000"/>
        </w:rPr>
        <w:t>15 avril 2026</w:t>
      </w:r>
      <w:r>
        <w:rPr>
          <w:color w:val="000000"/>
        </w:rPr>
        <w:t xml:space="preserve">, sous la présentation de </w:t>
      </w:r>
      <w:r>
        <w:rPr>
          <w:b/>
          <w:bCs/>
          <w:color w:val="000000"/>
        </w:rPr>
        <w:t>Sébastien Cayrou</w:t>
      </w:r>
      <w:r>
        <w:rPr>
          <w:color w:val="000000"/>
        </w:rPr>
        <w:t xml:space="preserve">. Elle a permis de faire un point complet sur l’avancement de l’accord Handicap 2023-2025, les résultats obtenus et les actions menées. </w:t>
      </w:r>
      <w:r>
        <w:rPr>
          <w:b/>
          <w:bCs/>
          <w:color w:val="000000"/>
        </w:rPr>
        <w:t>Nous rappelons toutefois qu’un accord n’a de valeur que s’il est appliqué partout, pour toutes et tous, avec transparence, moyens dédiés et exigence de résultats.</w:t>
      </w:r>
    </w:p>
    <w:p w14:paraId="0FB6DD5D" w14:textId="7D462A15" w:rsidR="005F2BB0" w:rsidRPr="002B55D2" w:rsidRDefault="005F2BB0" w:rsidP="005F2BB0">
      <w:pPr>
        <w:rPr>
          <w:rFonts w:ascii="Aptos" w:hAnsi="Aptos"/>
          <w:color w:val="000000"/>
        </w:rPr>
      </w:pPr>
    </w:p>
    <w:p w14:paraId="7556E8BD" w14:textId="77777777" w:rsidR="005F2BB0" w:rsidRPr="002B55D2" w:rsidRDefault="005F2BB0" w:rsidP="005F2BB0">
      <w:pPr>
        <w:rPr>
          <w:rFonts w:ascii="Aptos" w:hAnsi="Aptos"/>
          <w:b/>
          <w:bCs/>
          <w:color w:val="000000"/>
        </w:rPr>
      </w:pPr>
      <w:r w:rsidRPr="002B55D2">
        <w:rPr>
          <w:rFonts w:ascii="Aptos" w:hAnsi="Aptos"/>
          <w:b/>
          <w:bCs/>
          <w:color w:val="000000"/>
        </w:rPr>
        <w:t>2. Rappel des objectifs de l’accord 2023–2025</w:t>
      </w:r>
    </w:p>
    <w:p w14:paraId="222B7E18" w14:textId="77777777" w:rsidR="005F2BB0" w:rsidRPr="002B55D2" w:rsidRDefault="005F2BB0" w:rsidP="005F2BB0">
      <w:pPr>
        <w:numPr>
          <w:ilvl w:val="0"/>
          <w:numId w:val="1"/>
        </w:numPr>
        <w:rPr>
          <w:rFonts w:ascii="Aptos" w:hAnsi="Aptos"/>
          <w:color w:val="000000"/>
        </w:rPr>
      </w:pPr>
      <w:r w:rsidRPr="002B55D2">
        <w:rPr>
          <w:rFonts w:ascii="Aptos" w:hAnsi="Aptos"/>
          <w:b/>
          <w:bCs/>
          <w:color w:val="000000"/>
        </w:rPr>
        <w:t>Objectif principal :</w:t>
      </w:r>
      <w:r w:rsidRPr="002B55D2">
        <w:rPr>
          <w:rFonts w:ascii="Aptos" w:hAnsi="Aptos"/>
          <w:color w:val="000000"/>
        </w:rPr>
        <w:t xml:space="preserve"> atteindre le </w:t>
      </w:r>
      <w:r w:rsidRPr="002B55D2">
        <w:rPr>
          <w:rFonts w:ascii="Aptos" w:hAnsi="Aptos"/>
          <w:b/>
          <w:bCs/>
          <w:color w:val="000000"/>
        </w:rPr>
        <w:t>taux légal de 6 %</w:t>
      </w:r>
      <w:r w:rsidRPr="002B55D2">
        <w:rPr>
          <w:rFonts w:ascii="Aptos" w:hAnsi="Aptos"/>
          <w:color w:val="000000"/>
        </w:rPr>
        <w:t xml:space="preserve"> d’emploi de travailleurs en situation de handicap d’ici 2025.</w:t>
      </w:r>
    </w:p>
    <w:p w14:paraId="799113B1" w14:textId="77777777" w:rsidR="005F2BB0" w:rsidRPr="002B55D2" w:rsidRDefault="005F2BB0" w:rsidP="005F2BB0">
      <w:pPr>
        <w:numPr>
          <w:ilvl w:val="0"/>
          <w:numId w:val="1"/>
        </w:numPr>
        <w:rPr>
          <w:rFonts w:ascii="Aptos" w:hAnsi="Aptos"/>
          <w:color w:val="000000"/>
        </w:rPr>
      </w:pPr>
      <w:r w:rsidRPr="002B55D2">
        <w:rPr>
          <w:rFonts w:ascii="Aptos" w:hAnsi="Aptos"/>
          <w:b/>
          <w:bCs/>
          <w:color w:val="000000"/>
        </w:rPr>
        <w:t>Axes structurants du plan d’actions :</w:t>
      </w:r>
      <w:r w:rsidRPr="002B55D2">
        <w:rPr>
          <w:rFonts w:ascii="Aptos" w:hAnsi="Aptos"/>
          <w:color w:val="000000"/>
        </w:rPr>
        <w:t xml:space="preserve"> </w:t>
      </w:r>
    </w:p>
    <w:p w14:paraId="4DAD5740" w14:textId="77777777" w:rsidR="005F2BB0" w:rsidRPr="002B55D2" w:rsidRDefault="005F2BB0" w:rsidP="005F2BB0">
      <w:pPr>
        <w:numPr>
          <w:ilvl w:val="1"/>
          <w:numId w:val="1"/>
        </w:numPr>
        <w:rPr>
          <w:rFonts w:ascii="Aptos" w:hAnsi="Aptos"/>
          <w:color w:val="000000"/>
        </w:rPr>
      </w:pPr>
      <w:r w:rsidRPr="002B55D2">
        <w:rPr>
          <w:rFonts w:ascii="Aptos" w:hAnsi="Aptos"/>
          <w:b/>
          <w:bCs/>
          <w:color w:val="000000"/>
        </w:rPr>
        <w:t>Insertion sociale et professionnelle</w:t>
      </w:r>
      <w:r w:rsidRPr="002B55D2">
        <w:rPr>
          <w:rFonts w:ascii="Aptos" w:hAnsi="Aptos"/>
          <w:color w:val="000000"/>
        </w:rPr>
        <w:t xml:space="preserve"> : renforcement du plan d’embauche, diversité, égalité des chances.</w:t>
      </w:r>
    </w:p>
    <w:p w14:paraId="0DF90619" w14:textId="77777777" w:rsidR="005F2BB0" w:rsidRPr="002B55D2" w:rsidRDefault="005F2BB0" w:rsidP="005F2BB0">
      <w:pPr>
        <w:numPr>
          <w:ilvl w:val="1"/>
          <w:numId w:val="1"/>
        </w:numPr>
        <w:rPr>
          <w:rFonts w:ascii="Aptos" w:hAnsi="Aptos"/>
          <w:color w:val="000000"/>
        </w:rPr>
      </w:pPr>
      <w:r w:rsidRPr="002B55D2">
        <w:rPr>
          <w:rFonts w:ascii="Aptos" w:hAnsi="Aptos"/>
          <w:b/>
          <w:bCs/>
          <w:color w:val="000000"/>
        </w:rPr>
        <w:t>Intégration et maintien dans l’emploi</w:t>
      </w:r>
      <w:r w:rsidRPr="002B55D2">
        <w:rPr>
          <w:rFonts w:ascii="Aptos" w:hAnsi="Aptos"/>
          <w:color w:val="000000"/>
        </w:rPr>
        <w:t xml:space="preserve"> : aménagements de postes, accompagnement, reconnaissance du handicap.</w:t>
      </w:r>
    </w:p>
    <w:p w14:paraId="256BAA60" w14:textId="77777777" w:rsidR="005F2BB0" w:rsidRPr="002B55D2" w:rsidRDefault="005F2BB0" w:rsidP="005F2BB0">
      <w:pPr>
        <w:numPr>
          <w:ilvl w:val="1"/>
          <w:numId w:val="1"/>
        </w:numPr>
        <w:rPr>
          <w:rFonts w:ascii="Aptos" w:hAnsi="Aptos"/>
          <w:color w:val="000000"/>
        </w:rPr>
      </w:pPr>
      <w:r w:rsidRPr="002B55D2">
        <w:rPr>
          <w:rFonts w:ascii="Aptos" w:hAnsi="Aptos"/>
          <w:b/>
          <w:bCs/>
          <w:color w:val="000000"/>
        </w:rPr>
        <w:t>Information et sensibilisation</w:t>
      </w:r>
      <w:r w:rsidRPr="002B55D2">
        <w:rPr>
          <w:rFonts w:ascii="Aptos" w:hAnsi="Aptos"/>
          <w:color w:val="000000"/>
        </w:rPr>
        <w:t xml:space="preserve"> : actions auprès des salariés et managers.</w:t>
      </w:r>
    </w:p>
    <w:p w14:paraId="4EED877C" w14:textId="77777777" w:rsidR="001C1214" w:rsidRDefault="001C1214">
      <w:pPr>
        <w:rPr>
          <w:lang w:eastAsia="fr-FR"/>
        </w:rPr>
      </w:pPr>
      <w:r>
        <w:rPr>
          <w:b/>
          <w:bCs/>
          <w:color w:val="000000"/>
        </w:rPr>
        <w:t>2 bis. Exigences syndicales et points de vigilance</w:t>
      </w:r>
    </w:p>
    <w:p w14:paraId="05D66323" w14:textId="77777777" w:rsidR="001C1214" w:rsidRDefault="001C1214" w:rsidP="001C1214">
      <w:pPr>
        <w:numPr>
          <w:ilvl w:val="0"/>
          <w:numId w:val="19"/>
        </w:numPr>
        <w:spacing w:line="256" w:lineRule="auto"/>
        <w:rPr>
          <w:color w:val="000000"/>
          <w:lang w:eastAsia="fr-FR"/>
        </w:rPr>
      </w:pPr>
      <w:r>
        <w:rPr>
          <w:b/>
          <w:bCs/>
          <w:color w:val="000000"/>
        </w:rPr>
        <w:t>Objectif durable :</w:t>
      </w:r>
      <w:r>
        <w:rPr>
          <w:color w:val="000000"/>
        </w:rPr>
        <w:t xml:space="preserve"> maintenir un taux &gt;= 6 % dans la durée, </w:t>
      </w:r>
      <w:r>
        <w:rPr>
          <w:b/>
          <w:bCs/>
          <w:color w:val="000000"/>
        </w:rPr>
        <w:t>site par site</w:t>
      </w:r>
      <w:r>
        <w:rPr>
          <w:color w:val="000000"/>
        </w:rPr>
        <w:t>, sans masquer les écarts derrière des moyennes.</w:t>
      </w:r>
    </w:p>
    <w:p w14:paraId="0CA5D723" w14:textId="77777777" w:rsidR="001C1214" w:rsidRDefault="001C1214" w:rsidP="001C1214">
      <w:pPr>
        <w:numPr>
          <w:ilvl w:val="0"/>
          <w:numId w:val="19"/>
        </w:numPr>
        <w:spacing w:line="256" w:lineRule="auto"/>
        <w:rPr>
          <w:color w:val="000000"/>
        </w:rPr>
      </w:pPr>
      <w:r>
        <w:rPr>
          <w:b/>
          <w:bCs/>
          <w:color w:val="000000"/>
        </w:rPr>
        <w:lastRenderedPageBreak/>
        <w:t>Recrutement et alternance :</w:t>
      </w:r>
      <w:r>
        <w:rPr>
          <w:color w:val="000000"/>
        </w:rPr>
        <w:t xml:space="preserve"> relancer un plan d’embauche BOETH ambitieux (dont alternance/stages) avec des objectifs annuels publiés et suivis.</w:t>
      </w:r>
    </w:p>
    <w:p w14:paraId="513B0DA4" w14:textId="77777777" w:rsidR="001C1214" w:rsidRDefault="001C1214" w:rsidP="001C1214">
      <w:pPr>
        <w:numPr>
          <w:ilvl w:val="0"/>
          <w:numId w:val="19"/>
        </w:numPr>
        <w:spacing w:line="256" w:lineRule="auto"/>
        <w:rPr>
          <w:color w:val="000000"/>
        </w:rPr>
      </w:pPr>
      <w:r>
        <w:rPr>
          <w:b/>
          <w:bCs/>
          <w:color w:val="000000"/>
        </w:rPr>
        <w:t>Maintien dans l’emploi :</w:t>
      </w:r>
      <w:r>
        <w:rPr>
          <w:color w:val="000000"/>
        </w:rPr>
        <w:t xml:space="preserve"> garantir des </w:t>
      </w:r>
      <w:r>
        <w:rPr>
          <w:b/>
          <w:bCs/>
          <w:color w:val="000000"/>
        </w:rPr>
        <w:t>aménagements rapides</w:t>
      </w:r>
      <w:r>
        <w:rPr>
          <w:color w:val="000000"/>
        </w:rPr>
        <w:t>, financés et priorisés, et un accompagnement renforcé dès les premiers signaux de fragilité.</w:t>
      </w:r>
    </w:p>
    <w:p w14:paraId="618721B2" w14:textId="77777777" w:rsidR="001C1214" w:rsidRDefault="001C1214" w:rsidP="001C1214">
      <w:pPr>
        <w:numPr>
          <w:ilvl w:val="0"/>
          <w:numId w:val="19"/>
        </w:numPr>
        <w:spacing w:line="256" w:lineRule="auto"/>
        <w:rPr>
          <w:color w:val="000000"/>
        </w:rPr>
      </w:pPr>
      <w:r>
        <w:rPr>
          <w:b/>
          <w:bCs/>
          <w:color w:val="000000"/>
        </w:rPr>
        <w:t>Prévention des ruptures :</w:t>
      </w:r>
      <w:r>
        <w:rPr>
          <w:color w:val="000000"/>
        </w:rPr>
        <w:t xml:space="preserve"> analyser la hausse des licenciements 2024 et mettre en place des mesures pour que le handicap ne conduise jamais à une éviction.</w:t>
      </w:r>
    </w:p>
    <w:p w14:paraId="182490B1" w14:textId="77777777" w:rsidR="001C1214" w:rsidRDefault="001C1214" w:rsidP="001C1214">
      <w:pPr>
        <w:numPr>
          <w:ilvl w:val="0"/>
          <w:numId w:val="19"/>
        </w:numPr>
        <w:spacing w:line="256" w:lineRule="auto"/>
        <w:rPr>
          <w:color w:val="000000"/>
        </w:rPr>
      </w:pPr>
      <w:r>
        <w:rPr>
          <w:b/>
          <w:bCs/>
          <w:color w:val="000000"/>
        </w:rPr>
        <w:t>Égalité et mixité :</w:t>
      </w:r>
      <w:r>
        <w:rPr>
          <w:color w:val="000000"/>
        </w:rPr>
        <w:t xml:space="preserve"> corriger la sous-représentation des femmes et améliorer l’accès des BOETH aux métiers qualifiés (maîtrises/cadres) via formation et mobilité.</w:t>
      </w:r>
    </w:p>
    <w:p w14:paraId="4DCFA6C6" w14:textId="77777777" w:rsidR="001C1214" w:rsidRDefault="001C1214" w:rsidP="001C1214">
      <w:pPr>
        <w:numPr>
          <w:ilvl w:val="0"/>
          <w:numId w:val="19"/>
        </w:numPr>
        <w:spacing w:line="256" w:lineRule="auto"/>
        <w:rPr>
          <w:color w:val="000000"/>
        </w:rPr>
      </w:pPr>
      <w:r>
        <w:rPr>
          <w:b/>
          <w:bCs/>
          <w:color w:val="000000"/>
        </w:rPr>
        <w:t>Transparence :</w:t>
      </w:r>
      <w:r>
        <w:rPr>
          <w:color w:val="000000"/>
        </w:rPr>
        <w:t xml:space="preserve"> partager des indicateurs lisibles (entrées/sorties, motifs, délais d’aménagement, budgets) et un calendrier de suivi, avec réponses aux points remontés par le terrain.</w:t>
      </w:r>
    </w:p>
    <w:p w14:paraId="2E73EEAE" w14:textId="07C97314" w:rsidR="005F2BB0" w:rsidRPr="002B55D2" w:rsidRDefault="005F2BB0" w:rsidP="005F2BB0">
      <w:pPr>
        <w:rPr>
          <w:rFonts w:ascii="Aptos" w:hAnsi="Aptos"/>
          <w:color w:val="000000"/>
        </w:rPr>
      </w:pPr>
    </w:p>
    <w:p w14:paraId="30985FD4" w14:textId="77777777" w:rsidR="005F2BB0" w:rsidRPr="002B55D2" w:rsidRDefault="005F2BB0" w:rsidP="005F2BB0">
      <w:pPr>
        <w:rPr>
          <w:rFonts w:ascii="Aptos" w:hAnsi="Aptos"/>
          <w:b/>
          <w:bCs/>
          <w:color w:val="000000"/>
        </w:rPr>
      </w:pPr>
      <w:r w:rsidRPr="002B55D2">
        <w:rPr>
          <w:rFonts w:ascii="Aptos" w:hAnsi="Aptos"/>
          <w:b/>
          <w:bCs/>
          <w:color w:val="000000"/>
        </w:rPr>
        <w:t>3. Définition et périmètre des BOETH</w:t>
      </w:r>
    </w:p>
    <w:p w14:paraId="60A120F4" w14:textId="77777777" w:rsidR="005F2BB0" w:rsidRPr="002B55D2" w:rsidRDefault="005F2BB0" w:rsidP="005F2BB0">
      <w:pPr>
        <w:rPr>
          <w:rFonts w:ascii="Aptos" w:hAnsi="Aptos"/>
          <w:color w:val="000000"/>
        </w:rPr>
      </w:pPr>
      <w:r w:rsidRPr="002B55D2">
        <w:rPr>
          <w:rFonts w:ascii="Aptos" w:hAnsi="Aptos"/>
          <w:color w:val="000000"/>
        </w:rPr>
        <w:t xml:space="preserve">Un rappel a été effectué sur les différentes catégories de </w:t>
      </w:r>
      <w:r w:rsidRPr="002B55D2">
        <w:rPr>
          <w:rFonts w:ascii="Aptos" w:hAnsi="Aptos"/>
          <w:b/>
          <w:bCs/>
          <w:color w:val="000000"/>
        </w:rPr>
        <w:t>BOETH</w:t>
      </w:r>
      <w:r w:rsidRPr="002B55D2">
        <w:rPr>
          <w:rFonts w:ascii="Aptos" w:hAnsi="Aptos"/>
          <w:color w:val="000000"/>
        </w:rPr>
        <w:t xml:space="preserve"> (RQTH, AT-MP, pension d’invalidité, carte mobilité inclusion, AAH, etc.).</w:t>
      </w:r>
      <w:r w:rsidRPr="002B55D2">
        <w:rPr>
          <w:rFonts w:ascii="Aptos" w:hAnsi="Aptos"/>
          <w:color w:val="000000"/>
        </w:rPr>
        <w:br/>
        <w:t>Les codes S21.G00.40.072 ont été explicités pour harmoniser la compréhension des données RH.</w:t>
      </w:r>
    </w:p>
    <w:p w14:paraId="086EDA24" w14:textId="77777777" w:rsidR="005F2BB0" w:rsidRPr="002B55D2" w:rsidRDefault="005F2BB0" w:rsidP="005F2BB0">
      <w:pPr>
        <w:rPr>
          <w:rFonts w:ascii="Aptos" w:hAnsi="Aptos"/>
          <w:b/>
          <w:bCs/>
          <w:color w:val="000000"/>
        </w:rPr>
      </w:pPr>
      <w:r w:rsidRPr="002B55D2">
        <w:rPr>
          <w:rFonts w:ascii="Aptos" w:hAnsi="Aptos"/>
          <w:b/>
          <w:bCs/>
          <w:color w:val="000000"/>
        </w:rPr>
        <w:t>4. Taux d’emploi BOETH – Bilan 2020-2025</w:t>
      </w:r>
    </w:p>
    <w:p w14:paraId="1FB33A72" w14:textId="77777777" w:rsidR="005F2BB0" w:rsidRPr="002B55D2" w:rsidRDefault="005F2BB0" w:rsidP="005F2BB0">
      <w:pPr>
        <w:rPr>
          <w:rFonts w:ascii="Aptos" w:hAnsi="Aptos"/>
          <w:b/>
          <w:bCs/>
          <w:color w:val="000000"/>
        </w:rPr>
      </w:pPr>
      <w:r w:rsidRPr="002B55D2">
        <w:rPr>
          <w:rFonts w:ascii="Aptos" w:hAnsi="Aptos"/>
          <w:b/>
          <w:bCs/>
          <w:color w:val="000000"/>
        </w:rPr>
        <w:t>Évolution du taux d’emploi</w:t>
      </w:r>
    </w:p>
    <w:p w14:paraId="39D5F710" w14:textId="77777777" w:rsidR="005F2BB0" w:rsidRPr="002B55D2" w:rsidRDefault="005F2BB0" w:rsidP="005F2BB0">
      <w:pPr>
        <w:numPr>
          <w:ilvl w:val="0"/>
          <w:numId w:val="2"/>
        </w:numPr>
        <w:rPr>
          <w:rFonts w:ascii="Aptos" w:hAnsi="Aptos"/>
          <w:color w:val="000000"/>
        </w:rPr>
      </w:pPr>
      <w:r w:rsidRPr="002B55D2">
        <w:rPr>
          <w:rFonts w:ascii="Aptos" w:hAnsi="Aptos"/>
          <w:b/>
          <w:bCs/>
          <w:color w:val="000000"/>
        </w:rPr>
        <w:t>2020 :</w:t>
      </w:r>
      <w:r w:rsidRPr="002B55D2">
        <w:rPr>
          <w:rFonts w:ascii="Aptos" w:hAnsi="Aptos"/>
          <w:color w:val="000000"/>
        </w:rPr>
        <w:t xml:space="preserve"> 4,80 %</w:t>
      </w:r>
    </w:p>
    <w:p w14:paraId="6073FDDF" w14:textId="77777777" w:rsidR="005F2BB0" w:rsidRPr="002B55D2" w:rsidRDefault="005F2BB0" w:rsidP="005F2BB0">
      <w:pPr>
        <w:numPr>
          <w:ilvl w:val="0"/>
          <w:numId w:val="2"/>
        </w:numPr>
        <w:rPr>
          <w:rFonts w:ascii="Aptos" w:hAnsi="Aptos"/>
          <w:color w:val="000000"/>
        </w:rPr>
      </w:pPr>
      <w:r w:rsidRPr="002B55D2">
        <w:rPr>
          <w:rFonts w:ascii="Aptos" w:hAnsi="Aptos"/>
          <w:b/>
          <w:bCs/>
          <w:color w:val="000000"/>
        </w:rPr>
        <w:t>2021 :</w:t>
      </w:r>
      <w:r w:rsidRPr="002B55D2">
        <w:rPr>
          <w:rFonts w:ascii="Aptos" w:hAnsi="Aptos"/>
          <w:color w:val="000000"/>
        </w:rPr>
        <w:t xml:space="preserve"> 5,59 %</w:t>
      </w:r>
    </w:p>
    <w:p w14:paraId="5CDF44C7" w14:textId="77777777" w:rsidR="005F2BB0" w:rsidRPr="002B55D2" w:rsidRDefault="005F2BB0" w:rsidP="005F2BB0">
      <w:pPr>
        <w:numPr>
          <w:ilvl w:val="0"/>
          <w:numId w:val="2"/>
        </w:numPr>
        <w:rPr>
          <w:rFonts w:ascii="Aptos" w:hAnsi="Aptos"/>
          <w:color w:val="000000"/>
        </w:rPr>
      </w:pPr>
      <w:r w:rsidRPr="002B55D2">
        <w:rPr>
          <w:rFonts w:ascii="Aptos" w:hAnsi="Aptos"/>
          <w:b/>
          <w:bCs/>
          <w:color w:val="000000"/>
        </w:rPr>
        <w:t>2022 :</w:t>
      </w:r>
      <w:r w:rsidRPr="002B55D2">
        <w:rPr>
          <w:rFonts w:ascii="Aptos" w:hAnsi="Aptos"/>
          <w:color w:val="000000"/>
        </w:rPr>
        <w:t xml:space="preserve"> 5,71 %</w:t>
      </w:r>
    </w:p>
    <w:p w14:paraId="7C5E6E4A" w14:textId="77777777" w:rsidR="005F2BB0" w:rsidRPr="002B55D2" w:rsidRDefault="005F2BB0" w:rsidP="005F2BB0">
      <w:pPr>
        <w:numPr>
          <w:ilvl w:val="0"/>
          <w:numId w:val="2"/>
        </w:numPr>
        <w:rPr>
          <w:rFonts w:ascii="Aptos" w:hAnsi="Aptos"/>
          <w:color w:val="000000"/>
        </w:rPr>
      </w:pPr>
      <w:r w:rsidRPr="002B55D2">
        <w:rPr>
          <w:rFonts w:ascii="Aptos" w:hAnsi="Aptos"/>
          <w:b/>
          <w:bCs/>
          <w:color w:val="000000"/>
        </w:rPr>
        <w:t>2023 :</w:t>
      </w:r>
      <w:r w:rsidRPr="002B55D2">
        <w:rPr>
          <w:rFonts w:ascii="Aptos" w:hAnsi="Aptos"/>
          <w:color w:val="000000"/>
        </w:rPr>
        <w:t xml:space="preserve"> 5,60 %</w:t>
      </w:r>
    </w:p>
    <w:p w14:paraId="4DBA1195" w14:textId="77777777" w:rsidR="005F2BB0" w:rsidRPr="002B55D2" w:rsidRDefault="005F2BB0" w:rsidP="005F2BB0">
      <w:pPr>
        <w:numPr>
          <w:ilvl w:val="0"/>
          <w:numId w:val="2"/>
        </w:numPr>
        <w:rPr>
          <w:rFonts w:ascii="Aptos" w:hAnsi="Aptos"/>
          <w:color w:val="000000"/>
        </w:rPr>
      </w:pPr>
      <w:r w:rsidRPr="002B55D2">
        <w:rPr>
          <w:rFonts w:ascii="Aptos" w:hAnsi="Aptos"/>
          <w:b/>
          <w:bCs/>
          <w:color w:val="000000"/>
        </w:rPr>
        <w:t>2024 :</w:t>
      </w:r>
      <w:r w:rsidRPr="002B55D2">
        <w:rPr>
          <w:rFonts w:ascii="Aptos" w:hAnsi="Aptos"/>
          <w:color w:val="000000"/>
        </w:rPr>
        <w:t xml:space="preserve"> </w:t>
      </w:r>
      <w:r w:rsidRPr="002B55D2">
        <w:rPr>
          <w:rFonts w:ascii="Aptos" w:hAnsi="Aptos"/>
          <w:b/>
          <w:bCs/>
          <w:color w:val="000000"/>
        </w:rPr>
        <w:t>6,16 %</w:t>
      </w:r>
      <w:r w:rsidRPr="002B55D2">
        <w:rPr>
          <w:rFonts w:ascii="Aptos" w:hAnsi="Aptos"/>
          <w:color w:val="000000"/>
        </w:rPr>
        <w:t xml:space="preserve"> (objectif légal atteint)</w:t>
      </w:r>
    </w:p>
    <w:p w14:paraId="76414EFA" w14:textId="77777777" w:rsidR="005F2BB0" w:rsidRPr="002B55D2" w:rsidRDefault="005F2BB0" w:rsidP="005F2BB0">
      <w:pPr>
        <w:numPr>
          <w:ilvl w:val="0"/>
          <w:numId w:val="2"/>
        </w:numPr>
        <w:rPr>
          <w:rFonts w:ascii="Aptos" w:hAnsi="Aptos"/>
          <w:color w:val="000000"/>
        </w:rPr>
      </w:pPr>
      <w:r w:rsidRPr="002B55D2">
        <w:rPr>
          <w:rFonts w:ascii="Aptos" w:hAnsi="Aptos"/>
          <w:b/>
          <w:bCs/>
          <w:color w:val="000000"/>
        </w:rPr>
        <w:t>2025 :</w:t>
      </w:r>
      <w:r w:rsidRPr="002B55D2">
        <w:rPr>
          <w:rFonts w:ascii="Aptos" w:hAnsi="Aptos"/>
          <w:color w:val="000000"/>
        </w:rPr>
        <w:t xml:space="preserve"> </w:t>
      </w:r>
      <w:r w:rsidRPr="002B55D2">
        <w:rPr>
          <w:rFonts w:ascii="Aptos" w:hAnsi="Aptos"/>
          <w:b/>
          <w:bCs/>
          <w:color w:val="000000"/>
        </w:rPr>
        <w:t>6,32 %</w:t>
      </w:r>
      <w:r w:rsidRPr="002B55D2">
        <w:rPr>
          <w:rFonts w:ascii="Aptos" w:hAnsi="Aptos"/>
          <w:color w:val="000000"/>
        </w:rPr>
        <w:t xml:space="preserve"> (objectif dépassé)</w:t>
      </w:r>
    </w:p>
    <w:p w14:paraId="427FC275" w14:textId="77777777" w:rsidR="005F2BB0" w:rsidRPr="002B55D2" w:rsidRDefault="005F2BB0" w:rsidP="005F2BB0">
      <w:pPr>
        <w:rPr>
          <w:rFonts w:ascii="Aptos" w:hAnsi="Aptos"/>
          <w:b/>
          <w:bCs/>
          <w:color w:val="000000"/>
        </w:rPr>
      </w:pPr>
      <w:r w:rsidRPr="002B55D2">
        <w:rPr>
          <w:rFonts w:ascii="Aptos" w:hAnsi="Aptos"/>
          <w:b/>
          <w:bCs/>
          <w:color w:val="000000"/>
        </w:rPr>
        <w:t>Points marquants</w:t>
      </w:r>
    </w:p>
    <w:p w14:paraId="3A53E33D" w14:textId="77777777" w:rsidR="005F2BB0" w:rsidRPr="002B55D2" w:rsidRDefault="005F2BB0" w:rsidP="005F2BB0">
      <w:pPr>
        <w:numPr>
          <w:ilvl w:val="0"/>
          <w:numId w:val="3"/>
        </w:numPr>
        <w:rPr>
          <w:rFonts w:ascii="Aptos" w:hAnsi="Aptos"/>
          <w:color w:val="000000"/>
        </w:rPr>
      </w:pPr>
      <w:r w:rsidRPr="002B55D2">
        <w:rPr>
          <w:rFonts w:ascii="Aptos" w:hAnsi="Aptos"/>
          <w:color w:val="000000"/>
        </w:rPr>
        <w:t>Forte progression entre 2023 et 2024.</w:t>
      </w:r>
    </w:p>
    <w:p w14:paraId="3F4161BE" w14:textId="77777777" w:rsidR="005F2BB0" w:rsidRPr="002B55D2" w:rsidRDefault="005F2BB0" w:rsidP="005F2BB0">
      <w:pPr>
        <w:numPr>
          <w:ilvl w:val="0"/>
          <w:numId w:val="3"/>
        </w:numPr>
        <w:rPr>
          <w:rFonts w:ascii="Aptos" w:hAnsi="Aptos"/>
          <w:color w:val="000000"/>
        </w:rPr>
      </w:pPr>
      <w:r w:rsidRPr="002B55D2">
        <w:rPr>
          <w:rFonts w:ascii="Aptos" w:hAnsi="Aptos"/>
          <w:color w:val="000000"/>
        </w:rPr>
        <w:t>Disparition des unités manquantes dès 2024.</w:t>
      </w:r>
    </w:p>
    <w:p w14:paraId="4A4F93E9" w14:textId="77777777" w:rsidR="005F2BB0" w:rsidRPr="002B55D2" w:rsidRDefault="005F2BB0" w:rsidP="005F2BB0">
      <w:pPr>
        <w:numPr>
          <w:ilvl w:val="0"/>
          <w:numId w:val="3"/>
        </w:numPr>
        <w:rPr>
          <w:rFonts w:ascii="Aptos" w:hAnsi="Aptos"/>
          <w:color w:val="000000"/>
        </w:rPr>
      </w:pPr>
      <w:r w:rsidRPr="002B55D2">
        <w:rPr>
          <w:rFonts w:ascii="Aptos" w:hAnsi="Aptos"/>
          <w:color w:val="000000"/>
        </w:rPr>
        <w:t>Contribution URSSAF réduite puis nulle à partir de 2024.</w:t>
      </w:r>
    </w:p>
    <w:p w14:paraId="69EA1BF9" w14:textId="6693D93E" w:rsidR="005F2BB0" w:rsidRPr="002B55D2" w:rsidRDefault="005F2BB0" w:rsidP="005F2BB0">
      <w:pPr>
        <w:rPr>
          <w:rFonts w:ascii="Aptos" w:hAnsi="Aptos"/>
          <w:color w:val="000000"/>
        </w:rPr>
      </w:pPr>
    </w:p>
    <w:p w14:paraId="5540007D" w14:textId="77777777" w:rsidR="005F2BB0" w:rsidRPr="002B55D2" w:rsidRDefault="005F2BB0" w:rsidP="005F2BB0">
      <w:pPr>
        <w:rPr>
          <w:rFonts w:ascii="Aptos" w:hAnsi="Aptos"/>
          <w:b/>
          <w:bCs/>
          <w:color w:val="000000"/>
        </w:rPr>
      </w:pPr>
      <w:r w:rsidRPr="002B55D2">
        <w:rPr>
          <w:rFonts w:ascii="Aptos" w:hAnsi="Aptos"/>
          <w:b/>
          <w:bCs/>
          <w:color w:val="000000"/>
        </w:rPr>
        <w:t>5. Répartition des BOETH par catégorie</w:t>
      </w:r>
    </w:p>
    <w:p w14:paraId="135F9DDE" w14:textId="77777777" w:rsidR="005F2BB0" w:rsidRPr="002B55D2" w:rsidRDefault="005F2BB0" w:rsidP="005F2BB0">
      <w:pPr>
        <w:rPr>
          <w:rFonts w:ascii="Aptos" w:hAnsi="Aptos"/>
          <w:color w:val="000000"/>
        </w:rPr>
      </w:pPr>
      <w:r w:rsidRPr="002B55D2">
        <w:rPr>
          <w:rFonts w:ascii="Aptos" w:hAnsi="Aptos"/>
          <w:color w:val="000000"/>
        </w:rPr>
        <w:t>Les données montrent une évolution notable des catégories :</w:t>
      </w:r>
    </w:p>
    <w:p w14:paraId="56381B0C" w14:textId="77777777" w:rsidR="005F2BB0" w:rsidRPr="002B55D2" w:rsidRDefault="005F2BB0" w:rsidP="005F2BB0">
      <w:pPr>
        <w:numPr>
          <w:ilvl w:val="0"/>
          <w:numId w:val="4"/>
        </w:numPr>
        <w:rPr>
          <w:rFonts w:ascii="Aptos" w:hAnsi="Aptos"/>
          <w:color w:val="000000"/>
        </w:rPr>
      </w:pPr>
      <w:r w:rsidRPr="002B55D2">
        <w:rPr>
          <w:rFonts w:ascii="Aptos" w:hAnsi="Aptos"/>
          <w:b/>
          <w:bCs/>
          <w:color w:val="000000"/>
        </w:rPr>
        <w:t>AAH</w:t>
      </w:r>
      <w:r w:rsidRPr="002B55D2">
        <w:rPr>
          <w:rFonts w:ascii="Aptos" w:hAnsi="Aptos"/>
          <w:color w:val="000000"/>
        </w:rPr>
        <w:t xml:space="preserve"> : catégorie la plus représentée, en croissance continue (≈135 personnes en 2024-2025).</w:t>
      </w:r>
    </w:p>
    <w:p w14:paraId="41728D8D" w14:textId="77777777" w:rsidR="005F2BB0" w:rsidRPr="002B55D2" w:rsidRDefault="005F2BB0" w:rsidP="005F2BB0">
      <w:pPr>
        <w:numPr>
          <w:ilvl w:val="0"/>
          <w:numId w:val="4"/>
        </w:numPr>
        <w:rPr>
          <w:rFonts w:ascii="Aptos" w:hAnsi="Aptos"/>
          <w:color w:val="000000"/>
        </w:rPr>
      </w:pPr>
      <w:r w:rsidRPr="002B55D2">
        <w:rPr>
          <w:rFonts w:ascii="Aptos" w:hAnsi="Aptos"/>
          <w:b/>
          <w:bCs/>
          <w:color w:val="000000"/>
        </w:rPr>
        <w:t>RQTH</w:t>
      </w:r>
      <w:r w:rsidRPr="002B55D2">
        <w:rPr>
          <w:rFonts w:ascii="Aptos" w:hAnsi="Aptos"/>
          <w:color w:val="000000"/>
        </w:rPr>
        <w:t xml:space="preserve"> : fluctuations mais tendance à la baisse en 2024-2025.</w:t>
      </w:r>
    </w:p>
    <w:p w14:paraId="62AD2D2B" w14:textId="77777777" w:rsidR="005F2BB0" w:rsidRPr="002B55D2" w:rsidRDefault="005F2BB0" w:rsidP="005F2BB0">
      <w:pPr>
        <w:numPr>
          <w:ilvl w:val="0"/>
          <w:numId w:val="4"/>
        </w:numPr>
        <w:rPr>
          <w:rFonts w:ascii="Aptos" w:hAnsi="Aptos"/>
          <w:color w:val="000000"/>
        </w:rPr>
      </w:pPr>
      <w:r w:rsidRPr="002B55D2">
        <w:rPr>
          <w:rFonts w:ascii="Aptos" w:hAnsi="Aptos"/>
          <w:color w:val="000000"/>
        </w:rPr>
        <w:lastRenderedPageBreak/>
        <w:t>Autres catégories (AT-MP, pensions d’invalidité…) : volumes plus faibles mais stables.</w:t>
      </w:r>
    </w:p>
    <w:p w14:paraId="28AAA762" w14:textId="663ED802" w:rsidR="005F2BB0" w:rsidRPr="002B55D2" w:rsidRDefault="005F2BB0" w:rsidP="005F2BB0">
      <w:pPr>
        <w:rPr>
          <w:rFonts w:ascii="Aptos" w:hAnsi="Aptos"/>
          <w:color w:val="000000"/>
        </w:rPr>
      </w:pPr>
    </w:p>
    <w:p w14:paraId="35E42F7F" w14:textId="77777777" w:rsidR="005F2BB0" w:rsidRPr="002B55D2" w:rsidRDefault="005F2BB0" w:rsidP="005F2BB0">
      <w:pPr>
        <w:rPr>
          <w:rFonts w:ascii="Aptos" w:hAnsi="Aptos"/>
          <w:b/>
          <w:bCs/>
          <w:color w:val="000000"/>
        </w:rPr>
      </w:pPr>
      <w:r w:rsidRPr="002B55D2">
        <w:rPr>
          <w:rFonts w:ascii="Aptos" w:hAnsi="Aptos"/>
          <w:b/>
          <w:bCs/>
          <w:color w:val="000000"/>
        </w:rPr>
        <w:t>6. Répartition par genre et âge</w:t>
      </w:r>
    </w:p>
    <w:p w14:paraId="0DFEED43" w14:textId="77777777" w:rsidR="005F2BB0" w:rsidRPr="002B55D2" w:rsidRDefault="005F2BB0" w:rsidP="005F2BB0">
      <w:pPr>
        <w:rPr>
          <w:rFonts w:ascii="Aptos" w:hAnsi="Aptos"/>
          <w:b/>
          <w:bCs/>
          <w:color w:val="000000"/>
        </w:rPr>
      </w:pPr>
      <w:r w:rsidRPr="002B55D2">
        <w:rPr>
          <w:rFonts w:ascii="Aptos" w:hAnsi="Aptos"/>
          <w:b/>
          <w:bCs/>
          <w:color w:val="000000"/>
        </w:rPr>
        <w:t>Genre</w:t>
      </w:r>
    </w:p>
    <w:p w14:paraId="07E0D9D1" w14:textId="77777777" w:rsidR="005F2BB0" w:rsidRPr="002B55D2" w:rsidRDefault="005F2BB0" w:rsidP="005F2BB0">
      <w:pPr>
        <w:numPr>
          <w:ilvl w:val="0"/>
          <w:numId w:val="5"/>
        </w:numPr>
        <w:rPr>
          <w:rFonts w:ascii="Aptos" w:hAnsi="Aptos"/>
          <w:color w:val="000000"/>
        </w:rPr>
      </w:pPr>
      <w:r w:rsidRPr="002B55D2">
        <w:rPr>
          <w:rFonts w:ascii="Aptos" w:hAnsi="Aptos"/>
          <w:color w:val="000000"/>
        </w:rPr>
        <w:t xml:space="preserve">Population majoritairement masculine : environ </w:t>
      </w:r>
      <w:r w:rsidRPr="002B55D2">
        <w:rPr>
          <w:rFonts w:ascii="Aptos" w:hAnsi="Aptos"/>
          <w:b/>
          <w:bCs/>
          <w:color w:val="000000"/>
        </w:rPr>
        <w:t>80 % hommes / 20 % femmes</w:t>
      </w:r>
      <w:r w:rsidRPr="002B55D2">
        <w:rPr>
          <w:rFonts w:ascii="Aptos" w:hAnsi="Aptos"/>
          <w:color w:val="000000"/>
        </w:rPr>
        <w:t xml:space="preserve"> selon les années.</w:t>
      </w:r>
    </w:p>
    <w:p w14:paraId="5810DC6C" w14:textId="77777777" w:rsidR="005F2BB0" w:rsidRPr="002B55D2" w:rsidRDefault="005F2BB0" w:rsidP="005F2BB0">
      <w:pPr>
        <w:numPr>
          <w:ilvl w:val="0"/>
          <w:numId w:val="5"/>
        </w:numPr>
        <w:rPr>
          <w:rFonts w:ascii="Aptos" w:hAnsi="Aptos"/>
          <w:color w:val="000000"/>
        </w:rPr>
      </w:pPr>
      <w:r w:rsidRPr="002B55D2">
        <w:rPr>
          <w:rFonts w:ascii="Aptos" w:hAnsi="Aptos"/>
          <w:color w:val="000000"/>
        </w:rPr>
        <w:t>Stabilité globale de la répartition.</w:t>
      </w:r>
    </w:p>
    <w:p w14:paraId="19E50F9A" w14:textId="77777777" w:rsidR="005F2BB0" w:rsidRPr="002B55D2" w:rsidRDefault="005F2BB0" w:rsidP="005F2BB0">
      <w:pPr>
        <w:rPr>
          <w:rFonts w:ascii="Aptos" w:hAnsi="Aptos"/>
          <w:b/>
          <w:bCs/>
          <w:color w:val="000000"/>
        </w:rPr>
      </w:pPr>
      <w:r w:rsidRPr="002B55D2">
        <w:rPr>
          <w:rFonts w:ascii="Aptos" w:hAnsi="Aptos"/>
          <w:b/>
          <w:bCs/>
          <w:color w:val="000000"/>
        </w:rPr>
        <w:t>Âge</w:t>
      </w:r>
    </w:p>
    <w:p w14:paraId="03943DCC" w14:textId="77777777" w:rsidR="005F2BB0" w:rsidRPr="002B55D2" w:rsidRDefault="005F2BB0" w:rsidP="005F2BB0">
      <w:pPr>
        <w:numPr>
          <w:ilvl w:val="0"/>
          <w:numId w:val="6"/>
        </w:numPr>
        <w:rPr>
          <w:rFonts w:ascii="Aptos" w:hAnsi="Aptos"/>
          <w:color w:val="000000"/>
        </w:rPr>
      </w:pPr>
      <w:r w:rsidRPr="002B55D2">
        <w:rPr>
          <w:rFonts w:ascii="Aptos" w:hAnsi="Aptos"/>
          <w:color w:val="000000"/>
        </w:rPr>
        <w:t xml:space="preserve">Forte représentation des </w:t>
      </w:r>
      <w:r w:rsidRPr="002B55D2">
        <w:rPr>
          <w:rFonts w:ascii="Aptos" w:hAnsi="Aptos"/>
          <w:b/>
          <w:bCs/>
          <w:color w:val="000000"/>
        </w:rPr>
        <w:t>50 ans et +</w:t>
      </w:r>
      <w:r w:rsidRPr="002B55D2">
        <w:rPr>
          <w:rFonts w:ascii="Aptos" w:hAnsi="Aptos"/>
          <w:color w:val="000000"/>
        </w:rPr>
        <w:t xml:space="preserve"> (environ 70 %).</w:t>
      </w:r>
    </w:p>
    <w:p w14:paraId="69136D16" w14:textId="77777777" w:rsidR="005F2BB0" w:rsidRPr="002B55D2" w:rsidRDefault="005F2BB0" w:rsidP="005F2BB0">
      <w:pPr>
        <w:numPr>
          <w:ilvl w:val="0"/>
          <w:numId w:val="6"/>
        </w:numPr>
        <w:rPr>
          <w:rFonts w:ascii="Aptos" w:hAnsi="Aptos"/>
          <w:color w:val="000000"/>
        </w:rPr>
      </w:pPr>
      <w:r w:rsidRPr="002B55D2">
        <w:rPr>
          <w:rFonts w:ascii="Aptos" w:hAnsi="Aptos"/>
          <w:color w:val="000000"/>
        </w:rPr>
        <w:t>Les moins de 49 ans représentent 30 % environ, avec une légère hausse en 2025.</w:t>
      </w:r>
    </w:p>
    <w:p w14:paraId="294CC4C1" w14:textId="77777777" w:rsidR="005F2BB0" w:rsidRPr="002B55D2" w:rsidRDefault="005F2BB0" w:rsidP="005F2BB0">
      <w:pPr>
        <w:rPr>
          <w:rFonts w:ascii="Aptos" w:hAnsi="Aptos"/>
          <w:b/>
          <w:bCs/>
          <w:color w:val="000000"/>
        </w:rPr>
      </w:pPr>
      <w:r w:rsidRPr="002B55D2">
        <w:rPr>
          <w:rFonts w:ascii="Aptos" w:hAnsi="Aptos"/>
          <w:b/>
          <w:bCs/>
          <w:color w:val="000000"/>
        </w:rPr>
        <w:t>Répartition géographique (plaque 2025)</w:t>
      </w:r>
    </w:p>
    <w:p w14:paraId="0124D8D7" w14:textId="77777777" w:rsidR="005F2BB0" w:rsidRPr="002B55D2" w:rsidRDefault="005F2BB0" w:rsidP="005F2BB0">
      <w:pPr>
        <w:numPr>
          <w:ilvl w:val="0"/>
          <w:numId w:val="7"/>
        </w:numPr>
        <w:rPr>
          <w:rFonts w:ascii="Aptos" w:hAnsi="Aptos"/>
          <w:color w:val="000000"/>
        </w:rPr>
      </w:pPr>
      <w:r w:rsidRPr="002B55D2">
        <w:rPr>
          <w:rFonts w:ascii="Aptos" w:hAnsi="Aptos"/>
          <w:color w:val="000000"/>
        </w:rPr>
        <w:t>Sur toutes les plaques (Nord, Rennes, Bordeaux, Lyon, Marseille, etc.), la tendance est identique :</w:t>
      </w:r>
      <w:r w:rsidRPr="002B55D2">
        <w:rPr>
          <w:rFonts w:ascii="Aptos" w:hAnsi="Aptos"/>
          <w:color w:val="000000"/>
        </w:rPr>
        <w:br/>
        <w:t xml:space="preserve">→ </w:t>
      </w:r>
      <w:r w:rsidRPr="002B55D2">
        <w:rPr>
          <w:rFonts w:ascii="Aptos" w:hAnsi="Aptos"/>
          <w:b/>
          <w:bCs/>
          <w:color w:val="000000"/>
        </w:rPr>
        <w:t>majorité de salariés BOETH âgés de 50 ans et +</w:t>
      </w:r>
      <w:r w:rsidRPr="002B55D2">
        <w:rPr>
          <w:rFonts w:ascii="Aptos" w:hAnsi="Aptos"/>
          <w:color w:val="000000"/>
        </w:rPr>
        <w:t>.</w:t>
      </w:r>
    </w:p>
    <w:p w14:paraId="7D9F5079" w14:textId="13F1A59D" w:rsidR="005F2BB0" w:rsidRPr="002B55D2" w:rsidRDefault="005F2BB0" w:rsidP="005F2BB0">
      <w:pPr>
        <w:rPr>
          <w:rFonts w:ascii="Aptos" w:hAnsi="Aptos"/>
          <w:color w:val="000000"/>
        </w:rPr>
      </w:pPr>
    </w:p>
    <w:p w14:paraId="63DF1DC7" w14:textId="77777777" w:rsidR="005F2BB0" w:rsidRPr="002B55D2" w:rsidRDefault="005F2BB0" w:rsidP="005F2BB0">
      <w:pPr>
        <w:rPr>
          <w:rFonts w:ascii="Aptos" w:hAnsi="Aptos"/>
          <w:b/>
          <w:bCs/>
          <w:color w:val="000000"/>
        </w:rPr>
      </w:pPr>
      <w:r w:rsidRPr="002B55D2">
        <w:rPr>
          <w:rFonts w:ascii="Aptos" w:hAnsi="Aptos"/>
          <w:b/>
          <w:bCs/>
          <w:color w:val="000000"/>
        </w:rPr>
        <w:t>7. Répartition par catégorie professionnelle</w:t>
      </w:r>
    </w:p>
    <w:p w14:paraId="01864F5C" w14:textId="77777777" w:rsidR="005F2BB0" w:rsidRPr="002B55D2" w:rsidRDefault="005F2BB0" w:rsidP="005F2BB0">
      <w:pPr>
        <w:rPr>
          <w:rFonts w:ascii="Aptos" w:hAnsi="Aptos"/>
          <w:b/>
          <w:bCs/>
          <w:color w:val="000000"/>
        </w:rPr>
      </w:pPr>
      <w:r w:rsidRPr="002B55D2">
        <w:rPr>
          <w:rFonts w:ascii="Aptos" w:hAnsi="Aptos"/>
          <w:b/>
          <w:bCs/>
          <w:color w:val="000000"/>
        </w:rPr>
        <w:t>Évolution 2020-2025</w:t>
      </w:r>
    </w:p>
    <w:p w14:paraId="189F3DC3" w14:textId="77777777" w:rsidR="005F2BB0" w:rsidRPr="002B55D2" w:rsidRDefault="005F2BB0" w:rsidP="005F2BB0">
      <w:pPr>
        <w:numPr>
          <w:ilvl w:val="0"/>
          <w:numId w:val="8"/>
        </w:numPr>
        <w:rPr>
          <w:rFonts w:ascii="Aptos" w:hAnsi="Aptos"/>
          <w:color w:val="000000"/>
        </w:rPr>
      </w:pPr>
      <w:r w:rsidRPr="002B55D2">
        <w:rPr>
          <w:rFonts w:ascii="Aptos" w:hAnsi="Aptos"/>
          <w:b/>
          <w:bCs/>
          <w:color w:val="000000"/>
        </w:rPr>
        <w:t>Employés/Ouvriers :</w:t>
      </w:r>
      <w:r w:rsidRPr="002B55D2">
        <w:rPr>
          <w:rFonts w:ascii="Aptos" w:hAnsi="Aptos"/>
          <w:color w:val="000000"/>
        </w:rPr>
        <w:t xml:space="preserve"> catégorie la plus représentée (≈120 à 133 personnes).</w:t>
      </w:r>
    </w:p>
    <w:p w14:paraId="3011244E" w14:textId="77777777" w:rsidR="005F2BB0" w:rsidRPr="002B55D2" w:rsidRDefault="005F2BB0" w:rsidP="005F2BB0">
      <w:pPr>
        <w:numPr>
          <w:ilvl w:val="0"/>
          <w:numId w:val="8"/>
        </w:numPr>
        <w:rPr>
          <w:rFonts w:ascii="Aptos" w:hAnsi="Aptos"/>
          <w:color w:val="000000"/>
        </w:rPr>
      </w:pPr>
      <w:r w:rsidRPr="002B55D2">
        <w:rPr>
          <w:rFonts w:ascii="Aptos" w:hAnsi="Aptos"/>
          <w:b/>
          <w:bCs/>
          <w:color w:val="000000"/>
        </w:rPr>
        <w:t>Maîtrises :</w:t>
      </w:r>
      <w:r w:rsidRPr="002B55D2">
        <w:rPr>
          <w:rFonts w:ascii="Aptos" w:hAnsi="Aptos"/>
          <w:color w:val="000000"/>
        </w:rPr>
        <w:t xml:space="preserve"> stabilité autour de 64–70 personnes.</w:t>
      </w:r>
    </w:p>
    <w:p w14:paraId="1CAA87BD" w14:textId="77777777" w:rsidR="005F2BB0" w:rsidRPr="002B55D2" w:rsidRDefault="005F2BB0" w:rsidP="005F2BB0">
      <w:pPr>
        <w:numPr>
          <w:ilvl w:val="0"/>
          <w:numId w:val="8"/>
        </w:numPr>
        <w:rPr>
          <w:rFonts w:ascii="Aptos" w:hAnsi="Aptos"/>
          <w:color w:val="000000"/>
        </w:rPr>
      </w:pPr>
      <w:r w:rsidRPr="002B55D2">
        <w:rPr>
          <w:rFonts w:ascii="Aptos" w:hAnsi="Aptos"/>
          <w:b/>
          <w:bCs/>
          <w:color w:val="000000"/>
        </w:rPr>
        <w:t>Cadres/Ingénieurs :</w:t>
      </w:r>
      <w:r w:rsidRPr="002B55D2">
        <w:rPr>
          <w:rFonts w:ascii="Aptos" w:hAnsi="Aptos"/>
          <w:color w:val="000000"/>
        </w:rPr>
        <w:t xml:space="preserve"> faible proportion (≈13 à 20 personnes).</w:t>
      </w:r>
    </w:p>
    <w:p w14:paraId="55260CC0" w14:textId="77777777" w:rsidR="005F2BB0" w:rsidRPr="002B55D2" w:rsidRDefault="005F2BB0" w:rsidP="005F2BB0">
      <w:pPr>
        <w:rPr>
          <w:rFonts w:ascii="Aptos" w:hAnsi="Aptos"/>
          <w:b/>
          <w:bCs/>
          <w:color w:val="000000"/>
        </w:rPr>
      </w:pPr>
      <w:r w:rsidRPr="002B55D2">
        <w:rPr>
          <w:rFonts w:ascii="Aptos" w:hAnsi="Aptos"/>
          <w:b/>
          <w:bCs/>
          <w:color w:val="000000"/>
        </w:rPr>
        <w:t>Répartition 2025 par plaque</w:t>
      </w:r>
    </w:p>
    <w:p w14:paraId="2FC414F4" w14:textId="77777777" w:rsidR="005F2BB0" w:rsidRPr="002B55D2" w:rsidRDefault="005F2BB0" w:rsidP="005F2BB0">
      <w:pPr>
        <w:numPr>
          <w:ilvl w:val="0"/>
          <w:numId w:val="9"/>
        </w:numPr>
        <w:rPr>
          <w:rFonts w:ascii="Aptos" w:hAnsi="Aptos"/>
          <w:color w:val="000000"/>
        </w:rPr>
      </w:pPr>
      <w:r w:rsidRPr="002B55D2">
        <w:rPr>
          <w:rFonts w:ascii="Aptos" w:hAnsi="Aptos"/>
          <w:color w:val="000000"/>
        </w:rPr>
        <w:t>Paris concentre le plus grand nombre de BOETH (44 employés/ouvriers, 20 maîtrises, 4 cadres).</w:t>
      </w:r>
    </w:p>
    <w:p w14:paraId="1064A5B7" w14:textId="77777777" w:rsidR="005F2BB0" w:rsidRPr="002B55D2" w:rsidRDefault="005F2BB0" w:rsidP="005F2BB0">
      <w:pPr>
        <w:numPr>
          <w:ilvl w:val="0"/>
          <w:numId w:val="9"/>
        </w:numPr>
        <w:rPr>
          <w:rFonts w:ascii="Aptos" w:hAnsi="Aptos"/>
          <w:color w:val="000000"/>
        </w:rPr>
      </w:pPr>
      <w:r w:rsidRPr="002B55D2">
        <w:rPr>
          <w:rFonts w:ascii="Aptos" w:hAnsi="Aptos"/>
          <w:color w:val="000000"/>
        </w:rPr>
        <w:t>Les autres plaques présentent des effectifs plus modestes mais équilibrés.</w:t>
      </w:r>
    </w:p>
    <w:p w14:paraId="0036257E" w14:textId="386B2631" w:rsidR="005F2BB0" w:rsidRPr="002B55D2" w:rsidRDefault="005F2BB0" w:rsidP="005F2BB0">
      <w:pPr>
        <w:rPr>
          <w:rFonts w:ascii="Aptos" w:hAnsi="Aptos"/>
          <w:color w:val="000000"/>
        </w:rPr>
      </w:pPr>
    </w:p>
    <w:p w14:paraId="3848F53E" w14:textId="77777777" w:rsidR="005F2BB0" w:rsidRPr="002B55D2" w:rsidRDefault="005F2BB0" w:rsidP="005F2BB0">
      <w:pPr>
        <w:rPr>
          <w:rFonts w:ascii="Aptos" w:hAnsi="Aptos"/>
          <w:b/>
          <w:bCs/>
          <w:color w:val="000000"/>
        </w:rPr>
      </w:pPr>
      <w:r w:rsidRPr="002B55D2">
        <w:rPr>
          <w:rFonts w:ascii="Aptos" w:hAnsi="Aptos"/>
          <w:b/>
          <w:bCs/>
          <w:color w:val="000000"/>
        </w:rPr>
        <w:t>8. Entrées / Sorties BOETH</w:t>
      </w:r>
    </w:p>
    <w:p w14:paraId="61F51447" w14:textId="77777777" w:rsidR="005F2BB0" w:rsidRPr="002B55D2" w:rsidRDefault="005F2BB0" w:rsidP="005F2BB0">
      <w:pPr>
        <w:rPr>
          <w:rFonts w:ascii="Aptos" w:hAnsi="Aptos"/>
          <w:b/>
          <w:bCs/>
          <w:color w:val="000000"/>
        </w:rPr>
      </w:pPr>
      <w:r w:rsidRPr="002B55D2">
        <w:rPr>
          <w:rFonts w:ascii="Aptos" w:hAnsi="Aptos"/>
          <w:b/>
          <w:bCs/>
          <w:color w:val="000000"/>
        </w:rPr>
        <w:t>Types de contrats (2020-2025)</w:t>
      </w:r>
    </w:p>
    <w:p w14:paraId="1217DE55" w14:textId="77777777" w:rsidR="005F2BB0" w:rsidRPr="002B55D2" w:rsidRDefault="005F2BB0" w:rsidP="005F2BB0">
      <w:pPr>
        <w:numPr>
          <w:ilvl w:val="0"/>
          <w:numId w:val="10"/>
        </w:numPr>
        <w:rPr>
          <w:rFonts w:ascii="Aptos" w:hAnsi="Aptos"/>
          <w:color w:val="000000"/>
        </w:rPr>
      </w:pPr>
      <w:r w:rsidRPr="002B55D2">
        <w:rPr>
          <w:rFonts w:ascii="Aptos" w:hAnsi="Aptos"/>
          <w:color w:val="000000"/>
        </w:rPr>
        <w:t xml:space="preserve">Recrutements en </w:t>
      </w:r>
      <w:r w:rsidRPr="002B55D2">
        <w:rPr>
          <w:rFonts w:ascii="Aptos" w:hAnsi="Aptos"/>
          <w:b/>
          <w:bCs/>
          <w:color w:val="000000"/>
        </w:rPr>
        <w:t>CDI</w:t>
      </w:r>
      <w:r w:rsidRPr="002B55D2">
        <w:rPr>
          <w:rFonts w:ascii="Aptos" w:hAnsi="Aptos"/>
          <w:color w:val="000000"/>
        </w:rPr>
        <w:t xml:space="preserve"> et </w:t>
      </w:r>
      <w:r w:rsidRPr="002B55D2">
        <w:rPr>
          <w:rFonts w:ascii="Aptos" w:hAnsi="Aptos"/>
          <w:b/>
          <w:bCs/>
          <w:color w:val="000000"/>
        </w:rPr>
        <w:t>CDD</w:t>
      </w:r>
      <w:r w:rsidRPr="002B55D2">
        <w:rPr>
          <w:rFonts w:ascii="Aptos" w:hAnsi="Aptos"/>
          <w:color w:val="000000"/>
        </w:rPr>
        <w:t xml:space="preserve"> variables selon les années.</w:t>
      </w:r>
    </w:p>
    <w:p w14:paraId="38B923FE" w14:textId="77777777" w:rsidR="005F2BB0" w:rsidRPr="002B55D2" w:rsidRDefault="005F2BB0" w:rsidP="005F2BB0">
      <w:pPr>
        <w:numPr>
          <w:ilvl w:val="0"/>
          <w:numId w:val="10"/>
        </w:numPr>
        <w:rPr>
          <w:rFonts w:ascii="Aptos" w:hAnsi="Aptos"/>
          <w:color w:val="000000"/>
        </w:rPr>
      </w:pPr>
      <w:r w:rsidRPr="002B55D2">
        <w:rPr>
          <w:rFonts w:ascii="Aptos" w:hAnsi="Aptos"/>
          <w:color w:val="000000"/>
        </w:rPr>
        <w:t xml:space="preserve">Forte hausse des </w:t>
      </w:r>
      <w:r w:rsidRPr="002B55D2">
        <w:rPr>
          <w:rFonts w:ascii="Aptos" w:hAnsi="Aptos"/>
          <w:b/>
          <w:bCs/>
          <w:color w:val="000000"/>
        </w:rPr>
        <w:t>alternants</w:t>
      </w:r>
      <w:r w:rsidRPr="002B55D2">
        <w:rPr>
          <w:rFonts w:ascii="Aptos" w:hAnsi="Aptos"/>
          <w:color w:val="000000"/>
        </w:rPr>
        <w:t xml:space="preserve"> en 2023-2024.</w:t>
      </w:r>
    </w:p>
    <w:p w14:paraId="31A69B32" w14:textId="77777777" w:rsidR="005F2BB0" w:rsidRPr="002B55D2" w:rsidRDefault="005F2BB0" w:rsidP="005F2BB0">
      <w:pPr>
        <w:numPr>
          <w:ilvl w:val="0"/>
          <w:numId w:val="10"/>
        </w:numPr>
        <w:rPr>
          <w:rFonts w:ascii="Aptos" w:hAnsi="Aptos"/>
          <w:color w:val="000000"/>
        </w:rPr>
      </w:pPr>
      <w:r w:rsidRPr="002B55D2">
        <w:rPr>
          <w:rFonts w:ascii="Aptos" w:hAnsi="Aptos"/>
          <w:color w:val="000000"/>
        </w:rPr>
        <w:t>Intérim présent mais marginal.</w:t>
      </w:r>
    </w:p>
    <w:p w14:paraId="5F9C916C" w14:textId="77777777" w:rsidR="005F2BB0" w:rsidRPr="002B55D2" w:rsidRDefault="005F2BB0" w:rsidP="005F2BB0">
      <w:pPr>
        <w:rPr>
          <w:rFonts w:ascii="Aptos" w:hAnsi="Aptos"/>
          <w:b/>
          <w:bCs/>
          <w:color w:val="000000"/>
        </w:rPr>
      </w:pPr>
      <w:r w:rsidRPr="002B55D2">
        <w:rPr>
          <w:rFonts w:ascii="Aptos" w:hAnsi="Aptos"/>
          <w:b/>
          <w:bCs/>
          <w:color w:val="000000"/>
        </w:rPr>
        <w:t>Sorties</w:t>
      </w:r>
    </w:p>
    <w:p w14:paraId="1483C849" w14:textId="77777777" w:rsidR="005F2BB0" w:rsidRPr="002B55D2" w:rsidRDefault="005F2BB0" w:rsidP="005F2BB0">
      <w:pPr>
        <w:numPr>
          <w:ilvl w:val="0"/>
          <w:numId w:val="11"/>
        </w:numPr>
        <w:rPr>
          <w:rFonts w:ascii="Aptos" w:hAnsi="Aptos"/>
          <w:color w:val="000000"/>
        </w:rPr>
      </w:pPr>
      <w:r w:rsidRPr="002B55D2">
        <w:rPr>
          <w:rFonts w:ascii="Aptos" w:hAnsi="Aptos"/>
          <w:color w:val="000000"/>
        </w:rPr>
        <w:t>Volume de sorties fluctuant : pic en 2024 (54 sorties).</w:t>
      </w:r>
    </w:p>
    <w:p w14:paraId="1EA74926" w14:textId="77777777" w:rsidR="005F2BB0" w:rsidRPr="002B55D2" w:rsidRDefault="005F2BB0" w:rsidP="005F2BB0">
      <w:pPr>
        <w:numPr>
          <w:ilvl w:val="0"/>
          <w:numId w:val="11"/>
        </w:numPr>
        <w:rPr>
          <w:rFonts w:ascii="Aptos" w:hAnsi="Aptos"/>
          <w:color w:val="000000"/>
        </w:rPr>
      </w:pPr>
      <w:r w:rsidRPr="002B55D2">
        <w:rPr>
          <w:rFonts w:ascii="Aptos" w:hAnsi="Aptos"/>
          <w:color w:val="000000"/>
        </w:rPr>
        <w:lastRenderedPageBreak/>
        <w:t xml:space="preserve">Principales causes : </w:t>
      </w:r>
    </w:p>
    <w:p w14:paraId="12AE0C3A" w14:textId="77777777" w:rsidR="005F2BB0" w:rsidRPr="002B55D2" w:rsidRDefault="005F2BB0" w:rsidP="005F2BB0">
      <w:pPr>
        <w:numPr>
          <w:ilvl w:val="1"/>
          <w:numId w:val="11"/>
        </w:numPr>
        <w:rPr>
          <w:rFonts w:ascii="Aptos" w:hAnsi="Aptos"/>
          <w:color w:val="000000"/>
        </w:rPr>
      </w:pPr>
      <w:r w:rsidRPr="002B55D2">
        <w:rPr>
          <w:rFonts w:ascii="Aptos" w:hAnsi="Aptos"/>
          <w:b/>
          <w:bCs/>
          <w:color w:val="000000"/>
        </w:rPr>
        <w:t>Démissions</w:t>
      </w:r>
      <w:r w:rsidRPr="002B55D2">
        <w:rPr>
          <w:rFonts w:ascii="Aptos" w:hAnsi="Aptos"/>
          <w:color w:val="000000"/>
        </w:rPr>
        <w:t>,</w:t>
      </w:r>
    </w:p>
    <w:p w14:paraId="3A17C33F" w14:textId="77777777" w:rsidR="005F2BB0" w:rsidRPr="002B55D2" w:rsidRDefault="005F2BB0" w:rsidP="005F2BB0">
      <w:pPr>
        <w:numPr>
          <w:ilvl w:val="1"/>
          <w:numId w:val="11"/>
        </w:numPr>
        <w:rPr>
          <w:rFonts w:ascii="Aptos" w:hAnsi="Aptos"/>
          <w:color w:val="000000"/>
        </w:rPr>
      </w:pPr>
      <w:r w:rsidRPr="002B55D2">
        <w:rPr>
          <w:rFonts w:ascii="Aptos" w:hAnsi="Aptos"/>
          <w:b/>
          <w:bCs/>
          <w:color w:val="000000"/>
        </w:rPr>
        <w:t>Retraites</w:t>
      </w:r>
      <w:r w:rsidRPr="002B55D2">
        <w:rPr>
          <w:rFonts w:ascii="Aptos" w:hAnsi="Aptos"/>
          <w:color w:val="000000"/>
        </w:rPr>
        <w:t>,</w:t>
      </w:r>
    </w:p>
    <w:p w14:paraId="3CAA07E0" w14:textId="77777777" w:rsidR="005F2BB0" w:rsidRPr="002B55D2" w:rsidRDefault="005F2BB0" w:rsidP="005F2BB0">
      <w:pPr>
        <w:numPr>
          <w:ilvl w:val="1"/>
          <w:numId w:val="11"/>
        </w:numPr>
        <w:rPr>
          <w:rFonts w:ascii="Aptos" w:hAnsi="Aptos"/>
          <w:color w:val="000000"/>
        </w:rPr>
      </w:pPr>
      <w:r w:rsidRPr="002B55D2">
        <w:rPr>
          <w:rFonts w:ascii="Aptos" w:hAnsi="Aptos"/>
          <w:b/>
          <w:bCs/>
          <w:color w:val="000000"/>
        </w:rPr>
        <w:t>Licenciements</w:t>
      </w:r>
      <w:r w:rsidRPr="002B55D2">
        <w:rPr>
          <w:rFonts w:ascii="Aptos" w:hAnsi="Aptos"/>
          <w:color w:val="000000"/>
        </w:rPr>
        <w:t xml:space="preserve"> (hausse notable en 2024),</w:t>
      </w:r>
    </w:p>
    <w:p w14:paraId="61FCFADC" w14:textId="77777777" w:rsidR="005F2BB0" w:rsidRPr="002B55D2" w:rsidRDefault="005F2BB0" w:rsidP="005F2BB0">
      <w:pPr>
        <w:numPr>
          <w:ilvl w:val="1"/>
          <w:numId w:val="11"/>
        </w:numPr>
        <w:rPr>
          <w:rFonts w:ascii="Aptos" w:hAnsi="Aptos"/>
          <w:color w:val="000000"/>
        </w:rPr>
      </w:pPr>
      <w:r w:rsidRPr="002B55D2">
        <w:rPr>
          <w:rFonts w:ascii="Aptos" w:hAnsi="Aptos"/>
          <w:b/>
          <w:bCs/>
          <w:color w:val="000000"/>
        </w:rPr>
        <w:t>Cessions d’établissement</w:t>
      </w:r>
      <w:r w:rsidRPr="002B55D2">
        <w:rPr>
          <w:rFonts w:ascii="Aptos" w:hAnsi="Aptos"/>
          <w:color w:val="000000"/>
        </w:rPr>
        <w:t>.</w:t>
      </w:r>
    </w:p>
    <w:p w14:paraId="4130A5A2" w14:textId="77777777" w:rsidR="005F2BB0" w:rsidRPr="002B55D2" w:rsidRDefault="005F2BB0" w:rsidP="005F2BB0">
      <w:pPr>
        <w:rPr>
          <w:rFonts w:ascii="Aptos" w:hAnsi="Aptos"/>
          <w:b/>
          <w:bCs/>
          <w:color w:val="000000"/>
        </w:rPr>
      </w:pPr>
      <w:r w:rsidRPr="002B55D2">
        <w:rPr>
          <w:rFonts w:ascii="Aptos" w:hAnsi="Aptos"/>
          <w:b/>
          <w:bCs/>
          <w:color w:val="000000"/>
        </w:rPr>
        <w:t>Renouvellements / nouvelles reconnaissances</w:t>
      </w:r>
    </w:p>
    <w:p w14:paraId="024F1E48" w14:textId="77777777" w:rsidR="005F2BB0" w:rsidRPr="002B55D2" w:rsidRDefault="005F2BB0" w:rsidP="005F2BB0">
      <w:pPr>
        <w:numPr>
          <w:ilvl w:val="0"/>
          <w:numId w:val="12"/>
        </w:numPr>
        <w:rPr>
          <w:rFonts w:ascii="Aptos" w:hAnsi="Aptos"/>
          <w:color w:val="000000"/>
        </w:rPr>
      </w:pPr>
      <w:r w:rsidRPr="002B55D2">
        <w:rPr>
          <w:rFonts w:ascii="Aptos" w:hAnsi="Aptos"/>
          <w:color w:val="000000"/>
        </w:rPr>
        <w:t>Entre 20 et 30 nouvelles reconnaissances par an.</w:t>
      </w:r>
    </w:p>
    <w:p w14:paraId="30496F3F" w14:textId="77777777" w:rsidR="005F2BB0" w:rsidRPr="002B55D2" w:rsidRDefault="005F2BB0" w:rsidP="005F2BB0">
      <w:pPr>
        <w:numPr>
          <w:ilvl w:val="0"/>
          <w:numId w:val="12"/>
        </w:numPr>
        <w:rPr>
          <w:rFonts w:ascii="Aptos" w:hAnsi="Aptos"/>
          <w:color w:val="000000"/>
        </w:rPr>
      </w:pPr>
      <w:r w:rsidRPr="002B55D2">
        <w:rPr>
          <w:rFonts w:ascii="Aptos" w:hAnsi="Aptos"/>
          <w:color w:val="000000"/>
        </w:rPr>
        <w:t>Renouvellements en baisse en 2025.</w:t>
      </w:r>
    </w:p>
    <w:p w14:paraId="0C3D9B7C" w14:textId="01A4FB73" w:rsidR="005F2BB0" w:rsidRPr="002B55D2" w:rsidRDefault="005F2BB0" w:rsidP="005F2BB0">
      <w:pPr>
        <w:rPr>
          <w:rFonts w:ascii="Aptos" w:hAnsi="Aptos"/>
          <w:color w:val="000000"/>
        </w:rPr>
      </w:pPr>
    </w:p>
    <w:p w14:paraId="32829520" w14:textId="77777777" w:rsidR="005F2BB0" w:rsidRPr="002B55D2" w:rsidRDefault="005F2BB0" w:rsidP="005F2BB0">
      <w:pPr>
        <w:rPr>
          <w:rFonts w:ascii="Aptos" w:hAnsi="Aptos"/>
          <w:b/>
          <w:bCs/>
          <w:color w:val="000000"/>
        </w:rPr>
      </w:pPr>
      <w:r w:rsidRPr="002B55D2">
        <w:rPr>
          <w:rFonts w:ascii="Aptos" w:hAnsi="Aptos"/>
          <w:b/>
          <w:bCs/>
          <w:color w:val="000000"/>
        </w:rPr>
        <w:t>9. Plan d’embauches, insertion et formation – 2025</w:t>
      </w:r>
    </w:p>
    <w:p w14:paraId="569FC57D" w14:textId="77777777" w:rsidR="005F2BB0" w:rsidRPr="002B55D2" w:rsidRDefault="005F2BB0" w:rsidP="005F2BB0">
      <w:pPr>
        <w:rPr>
          <w:rFonts w:ascii="Aptos" w:hAnsi="Aptos"/>
          <w:b/>
          <w:bCs/>
          <w:color w:val="000000"/>
        </w:rPr>
      </w:pPr>
      <w:r w:rsidRPr="002B55D2">
        <w:rPr>
          <w:rFonts w:ascii="Aptos" w:hAnsi="Aptos"/>
          <w:b/>
          <w:bCs/>
          <w:color w:val="000000"/>
        </w:rPr>
        <w:t>Recrutements prévus</w:t>
      </w:r>
    </w:p>
    <w:p w14:paraId="4A683695" w14:textId="77777777" w:rsidR="005F2BB0" w:rsidRPr="002B55D2" w:rsidRDefault="005F2BB0" w:rsidP="005F2BB0">
      <w:pPr>
        <w:numPr>
          <w:ilvl w:val="0"/>
          <w:numId w:val="13"/>
        </w:numPr>
        <w:rPr>
          <w:rFonts w:ascii="Aptos" w:hAnsi="Aptos"/>
          <w:color w:val="000000"/>
        </w:rPr>
      </w:pPr>
      <w:r w:rsidRPr="002B55D2">
        <w:rPr>
          <w:rFonts w:ascii="Aptos" w:hAnsi="Aptos"/>
          <w:b/>
          <w:bCs/>
          <w:color w:val="000000"/>
        </w:rPr>
        <w:t>25 BOETH</w:t>
      </w:r>
      <w:r w:rsidRPr="002B55D2">
        <w:rPr>
          <w:rFonts w:ascii="Aptos" w:hAnsi="Aptos"/>
          <w:color w:val="000000"/>
        </w:rPr>
        <w:t xml:space="preserve"> sur la durée de l’accord (en personnes physiques et en ETP).</w:t>
      </w:r>
    </w:p>
    <w:p w14:paraId="1B02DABB" w14:textId="77777777" w:rsidR="005F2BB0" w:rsidRPr="002B55D2" w:rsidRDefault="005F2BB0" w:rsidP="005F2BB0">
      <w:pPr>
        <w:numPr>
          <w:ilvl w:val="0"/>
          <w:numId w:val="13"/>
        </w:numPr>
        <w:rPr>
          <w:rFonts w:ascii="Aptos" w:hAnsi="Aptos"/>
          <w:color w:val="000000"/>
        </w:rPr>
      </w:pPr>
      <w:r w:rsidRPr="002B55D2">
        <w:rPr>
          <w:rFonts w:ascii="Aptos" w:hAnsi="Aptos"/>
          <w:b/>
          <w:bCs/>
          <w:color w:val="000000"/>
        </w:rPr>
        <w:t>945 recrutements totaux</w:t>
      </w:r>
      <w:r w:rsidRPr="002B55D2">
        <w:rPr>
          <w:rFonts w:ascii="Aptos" w:hAnsi="Aptos"/>
          <w:color w:val="000000"/>
        </w:rPr>
        <w:t xml:space="preserve"> (tout public) dont : </w:t>
      </w:r>
    </w:p>
    <w:p w14:paraId="578E014A" w14:textId="77777777" w:rsidR="005F2BB0" w:rsidRPr="002B55D2" w:rsidRDefault="005F2BB0" w:rsidP="005F2BB0">
      <w:pPr>
        <w:numPr>
          <w:ilvl w:val="1"/>
          <w:numId w:val="13"/>
        </w:numPr>
        <w:rPr>
          <w:rFonts w:ascii="Aptos" w:hAnsi="Aptos"/>
          <w:color w:val="000000"/>
        </w:rPr>
      </w:pPr>
      <w:r w:rsidRPr="002B55D2">
        <w:rPr>
          <w:rFonts w:ascii="Aptos" w:hAnsi="Aptos"/>
          <w:color w:val="000000"/>
        </w:rPr>
        <w:t>532 CDI</w:t>
      </w:r>
    </w:p>
    <w:p w14:paraId="7DD4470D" w14:textId="77777777" w:rsidR="005F2BB0" w:rsidRPr="002B55D2" w:rsidRDefault="005F2BB0" w:rsidP="005F2BB0">
      <w:pPr>
        <w:numPr>
          <w:ilvl w:val="1"/>
          <w:numId w:val="13"/>
        </w:numPr>
        <w:rPr>
          <w:rFonts w:ascii="Aptos" w:hAnsi="Aptos"/>
          <w:color w:val="000000"/>
        </w:rPr>
      </w:pPr>
      <w:r w:rsidRPr="002B55D2">
        <w:rPr>
          <w:rFonts w:ascii="Aptos" w:hAnsi="Aptos"/>
          <w:color w:val="000000"/>
        </w:rPr>
        <w:t>413 CDD &gt; 6 mois</w:t>
      </w:r>
    </w:p>
    <w:p w14:paraId="53B6AF63" w14:textId="77777777" w:rsidR="005F2BB0" w:rsidRPr="002B55D2" w:rsidRDefault="005F2BB0" w:rsidP="005F2BB0">
      <w:pPr>
        <w:rPr>
          <w:rFonts w:ascii="Aptos" w:hAnsi="Aptos"/>
          <w:b/>
          <w:bCs/>
          <w:color w:val="000000"/>
        </w:rPr>
      </w:pPr>
      <w:r w:rsidRPr="002B55D2">
        <w:rPr>
          <w:rFonts w:ascii="Aptos" w:hAnsi="Aptos"/>
          <w:b/>
          <w:bCs/>
          <w:color w:val="000000"/>
        </w:rPr>
        <w:t>Types de contrats BOETH 2025</w:t>
      </w:r>
    </w:p>
    <w:p w14:paraId="227357F0" w14:textId="77777777" w:rsidR="005F2BB0" w:rsidRPr="002B55D2" w:rsidRDefault="005F2BB0" w:rsidP="005F2BB0">
      <w:pPr>
        <w:numPr>
          <w:ilvl w:val="0"/>
          <w:numId w:val="14"/>
        </w:numPr>
        <w:rPr>
          <w:rFonts w:ascii="Aptos" w:hAnsi="Aptos"/>
          <w:color w:val="000000"/>
        </w:rPr>
      </w:pPr>
      <w:r w:rsidRPr="002B55D2">
        <w:rPr>
          <w:rFonts w:ascii="Aptos" w:hAnsi="Aptos"/>
          <w:color w:val="000000"/>
        </w:rPr>
        <w:t>CDI : 4</w:t>
      </w:r>
    </w:p>
    <w:p w14:paraId="3E01460A" w14:textId="77777777" w:rsidR="005F2BB0" w:rsidRPr="002B55D2" w:rsidRDefault="005F2BB0" w:rsidP="005F2BB0">
      <w:pPr>
        <w:numPr>
          <w:ilvl w:val="0"/>
          <w:numId w:val="14"/>
        </w:numPr>
        <w:rPr>
          <w:rFonts w:ascii="Aptos" w:hAnsi="Aptos"/>
          <w:color w:val="000000"/>
        </w:rPr>
      </w:pPr>
      <w:r w:rsidRPr="002B55D2">
        <w:rPr>
          <w:rFonts w:ascii="Aptos" w:hAnsi="Aptos"/>
          <w:color w:val="000000"/>
        </w:rPr>
        <w:t>CDD &gt; 6 mois : 2</w:t>
      </w:r>
    </w:p>
    <w:p w14:paraId="51E8BBC8" w14:textId="77777777" w:rsidR="005F2BB0" w:rsidRPr="002B55D2" w:rsidRDefault="005F2BB0" w:rsidP="005F2BB0">
      <w:pPr>
        <w:numPr>
          <w:ilvl w:val="0"/>
          <w:numId w:val="14"/>
        </w:numPr>
        <w:rPr>
          <w:rFonts w:ascii="Aptos" w:hAnsi="Aptos"/>
          <w:color w:val="000000"/>
        </w:rPr>
      </w:pPr>
      <w:r w:rsidRPr="002B55D2">
        <w:rPr>
          <w:rFonts w:ascii="Aptos" w:hAnsi="Aptos"/>
          <w:color w:val="000000"/>
        </w:rPr>
        <w:t>CDD/intérim &lt; 6 mois : 2</w:t>
      </w:r>
    </w:p>
    <w:p w14:paraId="6878D2CD" w14:textId="77777777" w:rsidR="005F2BB0" w:rsidRPr="002B55D2" w:rsidRDefault="005F2BB0" w:rsidP="005F2BB0">
      <w:pPr>
        <w:numPr>
          <w:ilvl w:val="0"/>
          <w:numId w:val="14"/>
        </w:numPr>
        <w:rPr>
          <w:rFonts w:ascii="Aptos" w:hAnsi="Aptos"/>
          <w:color w:val="000000"/>
        </w:rPr>
      </w:pPr>
      <w:r w:rsidRPr="002B55D2">
        <w:rPr>
          <w:rFonts w:ascii="Aptos" w:hAnsi="Aptos"/>
          <w:color w:val="000000"/>
        </w:rPr>
        <w:t>Alternance : 0</w:t>
      </w:r>
    </w:p>
    <w:p w14:paraId="7E3BF8EE" w14:textId="77777777" w:rsidR="005F2BB0" w:rsidRPr="002B55D2" w:rsidRDefault="005F2BB0" w:rsidP="005F2BB0">
      <w:pPr>
        <w:numPr>
          <w:ilvl w:val="0"/>
          <w:numId w:val="14"/>
        </w:numPr>
        <w:rPr>
          <w:rFonts w:ascii="Aptos" w:hAnsi="Aptos"/>
          <w:color w:val="000000"/>
        </w:rPr>
      </w:pPr>
      <w:r w:rsidRPr="002B55D2">
        <w:rPr>
          <w:rFonts w:ascii="Aptos" w:hAnsi="Aptos"/>
          <w:color w:val="000000"/>
        </w:rPr>
        <w:t>Stages OETH : 0</w:t>
      </w:r>
    </w:p>
    <w:p w14:paraId="5DC9C955" w14:textId="77777777" w:rsidR="005F2BB0" w:rsidRPr="002B55D2" w:rsidRDefault="005F2BB0" w:rsidP="005F2BB0">
      <w:pPr>
        <w:rPr>
          <w:rFonts w:ascii="Aptos" w:hAnsi="Aptos"/>
          <w:b/>
          <w:bCs/>
          <w:color w:val="000000"/>
        </w:rPr>
      </w:pPr>
      <w:r w:rsidRPr="002B55D2">
        <w:rPr>
          <w:rFonts w:ascii="Aptos" w:hAnsi="Aptos"/>
          <w:b/>
          <w:bCs/>
          <w:color w:val="000000"/>
        </w:rPr>
        <w:t>Partenariats ESAT</w:t>
      </w:r>
    </w:p>
    <w:p w14:paraId="213D99EC" w14:textId="77777777" w:rsidR="005F2BB0" w:rsidRPr="002B55D2" w:rsidRDefault="005F2BB0" w:rsidP="005F2BB0">
      <w:pPr>
        <w:numPr>
          <w:ilvl w:val="0"/>
          <w:numId w:val="15"/>
        </w:numPr>
        <w:rPr>
          <w:rFonts w:ascii="Aptos" w:hAnsi="Aptos"/>
          <w:color w:val="000000"/>
        </w:rPr>
      </w:pPr>
      <w:r w:rsidRPr="002B55D2">
        <w:rPr>
          <w:rFonts w:ascii="Aptos" w:hAnsi="Aptos"/>
          <w:color w:val="000000"/>
        </w:rPr>
        <w:t>Rennes : Inclusiv (ballotins de chocolats)</w:t>
      </w:r>
    </w:p>
    <w:p w14:paraId="5346B69E" w14:textId="77777777" w:rsidR="005F2BB0" w:rsidRPr="002B55D2" w:rsidRDefault="005F2BB0" w:rsidP="005F2BB0">
      <w:pPr>
        <w:numPr>
          <w:ilvl w:val="0"/>
          <w:numId w:val="15"/>
        </w:numPr>
        <w:rPr>
          <w:rFonts w:ascii="Aptos" w:hAnsi="Aptos"/>
          <w:color w:val="000000"/>
        </w:rPr>
      </w:pPr>
      <w:r w:rsidRPr="002B55D2">
        <w:rPr>
          <w:rFonts w:ascii="Aptos" w:hAnsi="Aptos"/>
          <w:color w:val="000000"/>
        </w:rPr>
        <w:t>Paris Nord : AFASER (entretien des espaces verts)</w:t>
      </w:r>
    </w:p>
    <w:p w14:paraId="5AD8BAF7" w14:textId="314F0F7E" w:rsidR="005F2BB0" w:rsidRPr="002B55D2" w:rsidRDefault="005F2BB0" w:rsidP="005F2BB0">
      <w:pPr>
        <w:rPr>
          <w:rFonts w:ascii="Aptos" w:hAnsi="Aptos"/>
          <w:color w:val="000000"/>
        </w:rPr>
      </w:pPr>
    </w:p>
    <w:p w14:paraId="47898154" w14:textId="77777777" w:rsidR="005F2BB0" w:rsidRPr="002B55D2" w:rsidRDefault="005F2BB0" w:rsidP="005F2BB0">
      <w:pPr>
        <w:rPr>
          <w:rFonts w:ascii="Aptos" w:hAnsi="Aptos"/>
          <w:b/>
          <w:bCs/>
          <w:color w:val="000000"/>
        </w:rPr>
      </w:pPr>
      <w:r w:rsidRPr="002B55D2">
        <w:rPr>
          <w:rFonts w:ascii="Aptos" w:hAnsi="Aptos"/>
          <w:b/>
          <w:bCs/>
          <w:color w:val="000000"/>
        </w:rPr>
        <w:t>10. Plan de maintien dans l’emploi</w:t>
      </w:r>
    </w:p>
    <w:p w14:paraId="01334711" w14:textId="77777777" w:rsidR="005F2BB0" w:rsidRPr="002B55D2" w:rsidRDefault="005F2BB0" w:rsidP="005F2BB0">
      <w:pPr>
        <w:rPr>
          <w:rFonts w:ascii="Aptos" w:hAnsi="Aptos"/>
          <w:b/>
          <w:bCs/>
          <w:color w:val="000000"/>
        </w:rPr>
      </w:pPr>
      <w:r w:rsidRPr="002B55D2">
        <w:rPr>
          <w:rFonts w:ascii="Aptos" w:hAnsi="Aptos"/>
          <w:b/>
          <w:bCs/>
          <w:color w:val="000000"/>
        </w:rPr>
        <w:t>Aménagements de postes réalisés</w:t>
      </w:r>
    </w:p>
    <w:p w14:paraId="2739F898" w14:textId="77777777" w:rsidR="005F2BB0" w:rsidRPr="002B55D2" w:rsidRDefault="005F2BB0" w:rsidP="005F2BB0">
      <w:pPr>
        <w:numPr>
          <w:ilvl w:val="0"/>
          <w:numId w:val="16"/>
        </w:numPr>
        <w:rPr>
          <w:rFonts w:ascii="Aptos" w:hAnsi="Aptos"/>
          <w:color w:val="000000"/>
        </w:rPr>
      </w:pPr>
      <w:r w:rsidRPr="002B55D2">
        <w:rPr>
          <w:rFonts w:ascii="Aptos" w:hAnsi="Aptos"/>
          <w:color w:val="000000"/>
        </w:rPr>
        <w:t>6 personnes concernées</w:t>
      </w:r>
    </w:p>
    <w:p w14:paraId="7602B981" w14:textId="77777777" w:rsidR="005F2BB0" w:rsidRPr="002B55D2" w:rsidRDefault="005F2BB0" w:rsidP="005F2BB0">
      <w:pPr>
        <w:numPr>
          <w:ilvl w:val="0"/>
          <w:numId w:val="16"/>
        </w:numPr>
        <w:rPr>
          <w:rFonts w:ascii="Aptos" w:hAnsi="Aptos"/>
          <w:color w:val="000000"/>
        </w:rPr>
      </w:pPr>
      <w:r w:rsidRPr="002B55D2">
        <w:rPr>
          <w:rFonts w:ascii="Aptos" w:hAnsi="Aptos"/>
          <w:color w:val="000000"/>
        </w:rPr>
        <w:t xml:space="preserve">Montant total : </w:t>
      </w:r>
      <w:r w:rsidRPr="002B55D2">
        <w:rPr>
          <w:rFonts w:ascii="Aptos" w:hAnsi="Aptos"/>
          <w:b/>
          <w:bCs/>
          <w:color w:val="000000"/>
        </w:rPr>
        <w:t>13 390 €</w:t>
      </w:r>
    </w:p>
    <w:p w14:paraId="619390D8" w14:textId="77777777" w:rsidR="005F2BB0" w:rsidRPr="002B55D2" w:rsidRDefault="005F2BB0" w:rsidP="005F2BB0">
      <w:pPr>
        <w:numPr>
          <w:ilvl w:val="0"/>
          <w:numId w:val="16"/>
        </w:numPr>
        <w:rPr>
          <w:rFonts w:ascii="Aptos" w:hAnsi="Aptos"/>
          <w:color w:val="000000"/>
        </w:rPr>
      </w:pPr>
      <w:r w:rsidRPr="002B55D2">
        <w:rPr>
          <w:rFonts w:ascii="Aptos" w:hAnsi="Aptos"/>
          <w:color w:val="000000"/>
        </w:rPr>
        <w:t xml:space="preserve">Exemples d’équipements financés : </w:t>
      </w:r>
    </w:p>
    <w:p w14:paraId="7528A42E" w14:textId="77777777" w:rsidR="005F2BB0" w:rsidRPr="002B55D2" w:rsidRDefault="005F2BB0" w:rsidP="005F2BB0">
      <w:pPr>
        <w:numPr>
          <w:ilvl w:val="1"/>
          <w:numId w:val="16"/>
        </w:numPr>
        <w:rPr>
          <w:rFonts w:ascii="Aptos" w:hAnsi="Aptos"/>
          <w:color w:val="000000"/>
        </w:rPr>
      </w:pPr>
      <w:r w:rsidRPr="002B55D2">
        <w:rPr>
          <w:rFonts w:ascii="Aptos" w:hAnsi="Aptos"/>
          <w:color w:val="000000"/>
        </w:rPr>
        <w:t>Bureaux électriques (site + télétravail)</w:t>
      </w:r>
    </w:p>
    <w:p w14:paraId="332F6043" w14:textId="77777777" w:rsidR="005F2BB0" w:rsidRPr="002B55D2" w:rsidRDefault="005F2BB0" w:rsidP="005F2BB0">
      <w:pPr>
        <w:numPr>
          <w:ilvl w:val="1"/>
          <w:numId w:val="16"/>
        </w:numPr>
        <w:rPr>
          <w:rFonts w:ascii="Aptos" w:hAnsi="Aptos"/>
          <w:color w:val="000000"/>
        </w:rPr>
      </w:pPr>
      <w:r w:rsidRPr="002B55D2">
        <w:rPr>
          <w:rFonts w:ascii="Aptos" w:hAnsi="Aptos"/>
          <w:color w:val="000000"/>
        </w:rPr>
        <w:lastRenderedPageBreak/>
        <w:t>Chaises ergonomiques</w:t>
      </w:r>
    </w:p>
    <w:p w14:paraId="3B8CC561" w14:textId="77777777" w:rsidR="005F2BB0" w:rsidRPr="002B55D2" w:rsidRDefault="005F2BB0" w:rsidP="005F2BB0">
      <w:pPr>
        <w:numPr>
          <w:ilvl w:val="1"/>
          <w:numId w:val="16"/>
        </w:numPr>
        <w:rPr>
          <w:rFonts w:ascii="Aptos" w:hAnsi="Aptos"/>
          <w:color w:val="000000"/>
        </w:rPr>
      </w:pPr>
      <w:r w:rsidRPr="002B55D2">
        <w:rPr>
          <w:rFonts w:ascii="Aptos" w:hAnsi="Aptos"/>
          <w:color w:val="000000"/>
        </w:rPr>
        <w:t>Sièges adaptés (entreprise adaptée)</w:t>
      </w:r>
    </w:p>
    <w:p w14:paraId="227CE851" w14:textId="77777777" w:rsidR="005F2BB0" w:rsidRPr="002B55D2" w:rsidRDefault="005F2BB0" w:rsidP="005F2BB0">
      <w:pPr>
        <w:numPr>
          <w:ilvl w:val="1"/>
          <w:numId w:val="16"/>
        </w:numPr>
        <w:rPr>
          <w:rFonts w:ascii="Aptos" w:hAnsi="Aptos"/>
          <w:color w:val="000000"/>
        </w:rPr>
      </w:pPr>
      <w:r w:rsidRPr="002B55D2">
        <w:rPr>
          <w:rFonts w:ascii="Aptos" w:hAnsi="Aptos"/>
          <w:color w:val="000000"/>
        </w:rPr>
        <w:t>Lève-roue électrique</w:t>
      </w:r>
    </w:p>
    <w:p w14:paraId="2CE9293E" w14:textId="77777777" w:rsidR="005F2BB0" w:rsidRPr="002B55D2" w:rsidRDefault="005F2BB0" w:rsidP="005F2BB0">
      <w:pPr>
        <w:numPr>
          <w:ilvl w:val="1"/>
          <w:numId w:val="16"/>
        </w:numPr>
        <w:rPr>
          <w:rFonts w:ascii="Aptos" w:hAnsi="Aptos"/>
          <w:color w:val="000000"/>
        </w:rPr>
      </w:pPr>
      <w:r w:rsidRPr="002B55D2">
        <w:rPr>
          <w:rFonts w:ascii="Aptos" w:hAnsi="Aptos"/>
          <w:color w:val="000000"/>
        </w:rPr>
        <w:t>Bureaux réglables en hauteur</w:t>
      </w:r>
    </w:p>
    <w:p w14:paraId="07E003BF" w14:textId="77777777" w:rsidR="005F2BB0" w:rsidRPr="002B55D2" w:rsidRDefault="005F2BB0" w:rsidP="005F2BB0">
      <w:pPr>
        <w:rPr>
          <w:rFonts w:ascii="Aptos" w:hAnsi="Aptos"/>
          <w:b/>
          <w:bCs/>
          <w:color w:val="000000"/>
        </w:rPr>
      </w:pPr>
      <w:r w:rsidRPr="002B55D2">
        <w:rPr>
          <w:rFonts w:ascii="Aptos" w:hAnsi="Aptos"/>
          <w:b/>
          <w:bCs/>
          <w:color w:val="000000"/>
        </w:rPr>
        <w:t>Gestion des alertes ergonomiques</w:t>
      </w:r>
    </w:p>
    <w:p w14:paraId="37FC7028" w14:textId="77777777" w:rsidR="005F2BB0" w:rsidRPr="002B55D2" w:rsidRDefault="005F2BB0" w:rsidP="005F2BB0">
      <w:pPr>
        <w:rPr>
          <w:rFonts w:ascii="Aptos" w:hAnsi="Aptos"/>
          <w:color w:val="000000"/>
        </w:rPr>
      </w:pPr>
      <w:r w:rsidRPr="002B55D2">
        <w:rPr>
          <w:rFonts w:ascii="Aptos" w:hAnsi="Aptos"/>
          <w:color w:val="000000"/>
        </w:rPr>
        <w:t>Deux exemples concrets :</w:t>
      </w:r>
    </w:p>
    <w:p w14:paraId="6A678A17" w14:textId="77777777" w:rsidR="005F2BB0" w:rsidRPr="002B55D2" w:rsidRDefault="005F2BB0" w:rsidP="005F2BB0">
      <w:pPr>
        <w:numPr>
          <w:ilvl w:val="0"/>
          <w:numId w:val="17"/>
        </w:numPr>
        <w:rPr>
          <w:rFonts w:ascii="Aptos" w:hAnsi="Aptos"/>
          <w:color w:val="000000"/>
        </w:rPr>
      </w:pPr>
      <w:r w:rsidRPr="002B55D2">
        <w:rPr>
          <w:rFonts w:ascii="Aptos" w:hAnsi="Aptos"/>
          <w:color w:val="000000"/>
        </w:rPr>
        <w:t>Demande de chaises adaptées → inventaire + devis par l’ergonome</w:t>
      </w:r>
    </w:p>
    <w:p w14:paraId="21299336" w14:textId="77777777" w:rsidR="005F2BB0" w:rsidRPr="002B55D2" w:rsidRDefault="005F2BB0" w:rsidP="005F2BB0">
      <w:pPr>
        <w:numPr>
          <w:ilvl w:val="0"/>
          <w:numId w:val="17"/>
        </w:numPr>
        <w:rPr>
          <w:rFonts w:ascii="Aptos" w:hAnsi="Aptos"/>
          <w:color w:val="000000"/>
        </w:rPr>
      </w:pPr>
      <w:r w:rsidRPr="002B55D2">
        <w:rPr>
          <w:rFonts w:ascii="Aptos" w:hAnsi="Aptos"/>
          <w:color w:val="000000"/>
        </w:rPr>
        <w:t>Fauteuil inadapté → envoi du lien fournisseur pour choix du matériel</w:t>
      </w:r>
    </w:p>
    <w:p w14:paraId="530145F3" w14:textId="41122EC4" w:rsidR="005F2BB0" w:rsidRPr="002B55D2" w:rsidRDefault="005F2BB0" w:rsidP="005F2BB0">
      <w:pPr>
        <w:rPr>
          <w:rFonts w:ascii="Aptos" w:hAnsi="Aptos"/>
          <w:color w:val="000000"/>
        </w:rPr>
      </w:pPr>
    </w:p>
    <w:p w14:paraId="72E5521E" w14:textId="77777777" w:rsidR="005F2BB0" w:rsidRPr="002B55D2" w:rsidRDefault="005F2BB0" w:rsidP="005F2BB0">
      <w:pPr>
        <w:rPr>
          <w:rFonts w:ascii="Aptos" w:hAnsi="Aptos"/>
          <w:b/>
          <w:bCs/>
          <w:color w:val="000000"/>
        </w:rPr>
      </w:pPr>
      <w:r w:rsidRPr="002B55D2">
        <w:rPr>
          <w:rFonts w:ascii="Aptos" w:hAnsi="Aptos"/>
          <w:b/>
          <w:bCs/>
          <w:color w:val="000000"/>
        </w:rPr>
        <w:t>11. Conclusion</w:t>
      </w:r>
    </w:p>
    <w:p w14:paraId="628C36BE" w14:textId="77777777" w:rsidR="005F2BB0" w:rsidRPr="002B55D2" w:rsidRDefault="005F2BB0" w:rsidP="005F2BB0">
      <w:pPr>
        <w:rPr>
          <w:rFonts w:ascii="Aptos" w:hAnsi="Aptos"/>
          <w:color w:val="000000"/>
        </w:rPr>
      </w:pPr>
      <w:r w:rsidRPr="002B55D2">
        <w:rPr>
          <w:rFonts w:ascii="Aptos" w:hAnsi="Aptos"/>
          <w:color w:val="000000"/>
        </w:rPr>
        <w:t>La Commission constate :</w:t>
      </w:r>
    </w:p>
    <w:p w14:paraId="381CFBF4" w14:textId="77777777" w:rsidR="005F2BB0" w:rsidRPr="002B55D2" w:rsidRDefault="005F2BB0" w:rsidP="005F2BB0">
      <w:pPr>
        <w:numPr>
          <w:ilvl w:val="0"/>
          <w:numId w:val="18"/>
        </w:numPr>
        <w:rPr>
          <w:rFonts w:ascii="Aptos" w:hAnsi="Aptos"/>
          <w:color w:val="000000"/>
        </w:rPr>
      </w:pPr>
      <w:r w:rsidRPr="002B55D2">
        <w:rPr>
          <w:rFonts w:ascii="Aptos" w:hAnsi="Aptos"/>
          <w:color w:val="000000"/>
        </w:rPr>
        <w:t xml:space="preserve">Une </w:t>
      </w:r>
      <w:r w:rsidRPr="002B55D2">
        <w:rPr>
          <w:rFonts w:ascii="Aptos" w:hAnsi="Aptos"/>
          <w:b/>
          <w:bCs/>
          <w:color w:val="000000"/>
        </w:rPr>
        <w:t>atteinte durable du taux légal de 6 %</w:t>
      </w:r>
      <w:r w:rsidRPr="002B55D2">
        <w:rPr>
          <w:rFonts w:ascii="Aptos" w:hAnsi="Aptos"/>
          <w:color w:val="000000"/>
        </w:rPr>
        <w:t xml:space="preserve"> depuis 2024.</w:t>
      </w:r>
    </w:p>
    <w:p w14:paraId="4AFA8CD1" w14:textId="77777777" w:rsidR="005F2BB0" w:rsidRPr="002B55D2" w:rsidRDefault="005F2BB0" w:rsidP="005F2BB0">
      <w:pPr>
        <w:numPr>
          <w:ilvl w:val="0"/>
          <w:numId w:val="18"/>
        </w:numPr>
        <w:rPr>
          <w:rFonts w:ascii="Aptos" w:hAnsi="Aptos"/>
          <w:color w:val="000000"/>
        </w:rPr>
      </w:pPr>
      <w:r w:rsidRPr="002B55D2">
        <w:rPr>
          <w:rFonts w:ascii="Aptos" w:hAnsi="Aptos"/>
          <w:color w:val="000000"/>
        </w:rPr>
        <w:t>Une dynamique positive en matière d’insertion, de maintien dans l’emploi et de reconnaissance.</w:t>
      </w:r>
    </w:p>
    <w:p w14:paraId="08F90B37" w14:textId="77777777" w:rsidR="005F2BB0" w:rsidRPr="002B55D2" w:rsidRDefault="005F2BB0" w:rsidP="005F2BB0">
      <w:pPr>
        <w:numPr>
          <w:ilvl w:val="0"/>
          <w:numId w:val="18"/>
        </w:numPr>
        <w:rPr>
          <w:rFonts w:ascii="Aptos" w:hAnsi="Aptos"/>
          <w:color w:val="000000"/>
        </w:rPr>
      </w:pPr>
      <w:r w:rsidRPr="002B55D2">
        <w:rPr>
          <w:rFonts w:ascii="Aptos" w:hAnsi="Aptos"/>
          <w:color w:val="000000"/>
        </w:rPr>
        <w:t xml:space="preserve">Une vigilance à maintenir sur : </w:t>
      </w:r>
    </w:p>
    <w:p w14:paraId="552FF5ED" w14:textId="77777777" w:rsidR="005F2BB0" w:rsidRPr="002B55D2" w:rsidRDefault="005F2BB0" w:rsidP="005F2BB0">
      <w:pPr>
        <w:numPr>
          <w:ilvl w:val="1"/>
          <w:numId w:val="18"/>
        </w:numPr>
        <w:rPr>
          <w:rFonts w:ascii="Aptos" w:hAnsi="Aptos"/>
          <w:color w:val="000000"/>
        </w:rPr>
      </w:pPr>
      <w:r w:rsidRPr="002B55D2">
        <w:rPr>
          <w:rFonts w:ascii="Aptos" w:hAnsi="Aptos"/>
          <w:color w:val="000000"/>
        </w:rPr>
        <w:t>la pyramide des âges (forte proportion de 50+),</w:t>
      </w:r>
    </w:p>
    <w:p w14:paraId="2BFA60BD" w14:textId="77777777" w:rsidR="005F2BB0" w:rsidRPr="002B55D2" w:rsidRDefault="005F2BB0" w:rsidP="005F2BB0">
      <w:pPr>
        <w:numPr>
          <w:ilvl w:val="1"/>
          <w:numId w:val="18"/>
        </w:numPr>
        <w:rPr>
          <w:rFonts w:ascii="Aptos" w:hAnsi="Aptos"/>
          <w:color w:val="000000"/>
        </w:rPr>
      </w:pPr>
      <w:r w:rsidRPr="002B55D2">
        <w:rPr>
          <w:rFonts w:ascii="Aptos" w:hAnsi="Aptos"/>
          <w:color w:val="000000"/>
        </w:rPr>
        <w:t>la diversité des catégories professionnelles,</w:t>
      </w:r>
    </w:p>
    <w:p w14:paraId="3F5DEBC2" w14:textId="77777777" w:rsidR="005F2BB0" w:rsidRPr="002B55D2" w:rsidRDefault="005F2BB0" w:rsidP="005F2BB0">
      <w:pPr>
        <w:numPr>
          <w:ilvl w:val="1"/>
          <w:numId w:val="18"/>
        </w:numPr>
        <w:rPr>
          <w:rFonts w:ascii="Aptos" w:hAnsi="Aptos"/>
          <w:color w:val="000000"/>
        </w:rPr>
      </w:pPr>
      <w:r w:rsidRPr="002B55D2">
        <w:rPr>
          <w:rFonts w:ascii="Aptos" w:hAnsi="Aptos"/>
          <w:color w:val="000000"/>
        </w:rPr>
        <w:t>la prévention des risques ergonomiques,</w:t>
      </w:r>
    </w:p>
    <w:p w14:paraId="13D79DBD" w14:textId="77777777" w:rsidR="001C1214" w:rsidRDefault="001C1214" w:rsidP="001C1214">
      <w:pPr>
        <w:numPr>
          <w:ilvl w:val="1"/>
          <w:numId w:val="18"/>
        </w:numPr>
        <w:spacing w:line="256" w:lineRule="auto"/>
        <w:rPr>
          <w:color w:val="000000"/>
          <w:lang w:eastAsia="fr-FR"/>
        </w:rPr>
      </w:pPr>
      <w:r>
        <w:rPr>
          <w:color w:val="000000"/>
        </w:rPr>
        <w:t xml:space="preserve">la stabilisation des sorties et </w:t>
      </w:r>
      <w:r>
        <w:rPr>
          <w:b/>
          <w:bCs/>
          <w:color w:val="000000"/>
        </w:rPr>
        <w:t>la prévention des licenciements</w:t>
      </w:r>
      <w:r>
        <w:rPr>
          <w:color w:val="000000"/>
        </w:rPr>
        <w:t xml:space="preserve"> : la hausse 2024 doit être expliquée et donner lieu à des mesures correctrices.</w:t>
      </w:r>
    </w:p>
    <w:p w14:paraId="75DE3D36" w14:textId="69DF3894" w:rsidR="00C723B2" w:rsidRDefault="00C723B2">
      <w:pPr>
        <w:rPr>
          <w:color w:val="000000"/>
        </w:rPr>
      </w:pPr>
      <w:r w:rsidRPr="003C1884">
        <w:rPr>
          <w:noProof/>
        </w:rPr>
        <w:drawing>
          <wp:inline distT="0" distB="0" distL="0" distR="0" wp14:anchorId="338A63CD" wp14:editId="5F2387BD">
            <wp:extent cx="649002" cy="600529"/>
            <wp:effectExtent l="0" t="0" r="0" b="9525"/>
            <wp:docPr id="14648037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803764"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5186" cy="615504"/>
                    </a:xfrm>
                    <a:prstGeom prst="rect">
                      <a:avLst/>
                    </a:prstGeom>
                  </pic:spPr>
                </pic:pic>
              </a:graphicData>
            </a:graphic>
          </wp:inline>
        </w:drawing>
      </w:r>
    </w:p>
    <w:p w14:paraId="79AB94C9" w14:textId="016409F2" w:rsidR="00D9044B" w:rsidRDefault="001C1214">
      <w:pPr>
        <w:rPr>
          <w:color w:val="000000"/>
        </w:rPr>
      </w:pPr>
      <w:r>
        <w:rPr>
          <w:color w:val="000000"/>
        </w:rPr>
        <w:t xml:space="preserve">L’accord 2023-2025 montre une </w:t>
      </w:r>
      <w:r>
        <w:rPr>
          <w:b/>
          <w:bCs/>
          <w:color w:val="000000"/>
        </w:rPr>
        <w:t>progression réelle et mesurable</w:t>
      </w:r>
      <w:r>
        <w:rPr>
          <w:color w:val="000000"/>
        </w:rPr>
        <w:t xml:space="preserve">. Pour autant, </w:t>
      </w:r>
      <w:r>
        <w:rPr>
          <w:b/>
          <w:bCs/>
          <w:color w:val="000000"/>
        </w:rPr>
        <w:t>nous ne pouvons pas nous satisfaire d’un objectif légal atteint</w:t>
      </w:r>
      <w:r>
        <w:rPr>
          <w:color w:val="000000"/>
        </w:rPr>
        <w:t xml:space="preserve"> : l’enjeu est de garantir des parcours dignes, sécurisés et équitables, et de faire reculer concrètement les inégalités. </w:t>
      </w:r>
      <w:r w:rsidR="00D9044B" w:rsidRPr="00D9044B">
        <w:rPr>
          <w:rFonts w:ascii="Aptos" w:hAnsi="Aptos"/>
          <w:color w:val="000000"/>
        </w:rPr>
        <w:t>Pour le prochain accord, nous solliciterons la mise en place d’un plan d’actions consolidé et chiffré, l’instauration d’un suivi collaboratif des indicateurs (incluant les flux d’entrées et de sorties ainsi que leurs motifs), ainsi que des engagements clairs concernant la pérennisation dans l’emploi, afin de garantir que l’inclusion soit indépendante du site, du management ou des variations budgétaires.</w:t>
      </w:r>
    </w:p>
    <w:p w14:paraId="3DCA49CE" w14:textId="1F34504C" w:rsidR="00E3261E" w:rsidRPr="00E3261E" w:rsidRDefault="00E3261E" w:rsidP="00E3261E"/>
    <w:p w14:paraId="745BCF13" w14:textId="77777777" w:rsidR="00B7512B" w:rsidRPr="00B7512B" w:rsidRDefault="00B7512B" w:rsidP="00B7512B">
      <w:pPr>
        <w:rPr>
          <w:b/>
          <w:bCs/>
        </w:rPr>
      </w:pPr>
      <w:r w:rsidRPr="00B7512B">
        <w:rPr>
          <w:b/>
          <w:bCs/>
        </w:rPr>
        <w:t>Lexique des abréviations</w:t>
      </w:r>
    </w:p>
    <w:p w14:paraId="012413AD" w14:textId="77777777" w:rsidR="00B7512B" w:rsidRPr="00B7512B" w:rsidRDefault="00B7512B" w:rsidP="00B7512B">
      <w:r w:rsidRPr="00B7512B">
        <w:rPr>
          <w:b/>
          <w:bCs/>
        </w:rPr>
        <w:t>RQTH – Reconnaissance de la Qualité de Travailleur Handicapé</w:t>
      </w:r>
      <w:r w:rsidRPr="00B7512B">
        <w:br/>
        <w:t xml:space="preserve">Décision administrative délivrée par la Commission des droits et de l’autonomie des personnes </w:t>
      </w:r>
      <w:r w:rsidRPr="00B7512B">
        <w:lastRenderedPageBreak/>
        <w:t xml:space="preserve">handicapées (CDAPH). Elle reconnaît qu’un handicap ou un état de santé a des incidences sur l’accès ou le maintien dans l’emploi et ouvre droit à des dispositifs d’accompagnement, d’aménagement et de compensation professionnelle. </w:t>
      </w:r>
      <w:hyperlink r:id="rId9" w:history="1">
        <w:r w:rsidRPr="00B7512B">
          <w:rPr>
            <w:rStyle w:val="Lienhypertexte"/>
          </w:rPr>
          <w:t>[economie.gouv.fr]</w:t>
        </w:r>
      </w:hyperlink>
    </w:p>
    <w:p w14:paraId="60138C6B" w14:textId="77777777" w:rsidR="00B7512B" w:rsidRPr="00B7512B" w:rsidRDefault="00B7512B" w:rsidP="00B7512B">
      <w:r w:rsidRPr="00B7512B">
        <w:rPr>
          <w:b/>
          <w:bCs/>
        </w:rPr>
        <w:t>AAH – Allocation aux Adultes Handicapés</w:t>
      </w:r>
      <w:r w:rsidRPr="00B7512B">
        <w:br/>
        <w:t xml:space="preserve">Prestation sociale destinée à garantir un revenu minimum aux personnes en situation de handicap disposant de ressources limitées. Son attribution dépend notamment d’un taux d’incapacité reconnu par la CDAPH et de critères administratifs et financiers. </w:t>
      </w:r>
      <w:hyperlink r:id="rId10" w:history="1">
        <w:r w:rsidRPr="00B7512B">
          <w:rPr>
            <w:rStyle w:val="Lienhypertexte"/>
          </w:rPr>
          <w:t>[monparcour...ap.gouv.fr]</w:t>
        </w:r>
      </w:hyperlink>
    </w:p>
    <w:p w14:paraId="68FEC407" w14:textId="77777777" w:rsidR="00B7512B" w:rsidRPr="00B7512B" w:rsidRDefault="00B7512B" w:rsidP="00B7512B">
      <w:r w:rsidRPr="00B7512B">
        <w:rPr>
          <w:b/>
          <w:bCs/>
        </w:rPr>
        <w:t>BOETH – Bénéficiaire de l’Obligation d’Emploi des Travailleurs Handicapés</w:t>
      </w:r>
      <w:r w:rsidRPr="00B7512B">
        <w:br/>
        <w:t xml:space="preserve">Statut administratif regroupant les personnes reconnues comme relevant de l’obligation d’emploi des travailleurs handicapés (par exemple titulaires d’une RQTH, de l’AAH ou d’autres reconnaissances prévues par la loi). Ce statut permet leur prise en compte dans le cadre des obligations légales des employeurs en matière d’emploi de personnes en situation de handicap. </w:t>
      </w:r>
      <w:hyperlink r:id="rId11" w:history="1">
        <w:r w:rsidRPr="00B7512B">
          <w:rPr>
            <w:rStyle w:val="Lienhypertexte"/>
          </w:rPr>
          <w:t>[info.gouv.fr]</w:t>
        </w:r>
      </w:hyperlink>
    </w:p>
    <w:p w14:paraId="10B34013" w14:textId="77777777" w:rsidR="00B7512B" w:rsidRPr="00B7512B" w:rsidRDefault="00B7512B" w:rsidP="00B7512B">
      <w:r w:rsidRPr="00B7512B">
        <w:rPr>
          <w:b/>
          <w:bCs/>
        </w:rPr>
        <w:t>OETH – Obligation d’Emploi des Travailleurs Handicapés</w:t>
      </w:r>
      <w:r w:rsidRPr="00B7512B">
        <w:br/>
        <w:t>Dispositif légal imposant aux employeurs d’au moins 20 salariés d’employer des bénéficiaires de l’obligation d’emploi (BOETH) à hauteur de 6</w:t>
      </w:r>
      <w:r w:rsidRPr="00B7512B">
        <w:rPr>
          <w:rFonts w:ascii="Arial" w:hAnsi="Arial" w:cs="Arial"/>
        </w:rPr>
        <w:t> </w:t>
      </w:r>
      <w:r w:rsidRPr="00B7512B">
        <w:t>% de l</w:t>
      </w:r>
      <w:r w:rsidRPr="00B7512B">
        <w:rPr>
          <w:rFonts w:ascii="Aptos" w:hAnsi="Aptos" w:cs="Aptos"/>
        </w:rPr>
        <w:t>’</w:t>
      </w:r>
      <w:r w:rsidRPr="00B7512B">
        <w:t xml:space="preserve">effectif moyen annuel. Cette obligation vise </w:t>
      </w:r>
      <w:r w:rsidRPr="00B7512B">
        <w:rPr>
          <w:rFonts w:ascii="Aptos" w:hAnsi="Aptos" w:cs="Aptos"/>
        </w:rPr>
        <w:t>à</w:t>
      </w:r>
      <w:r w:rsidRPr="00B7512B">
        <w:t xml:space="preserve"> favoriser l</w:t>
      </w:r>
      <w:r w:rsidRPr="00B7512B">
        <w:rPr>
          <w:rFonts w:ascii="Aptos" w:hAnsi="Aptos" w:cs="Aptos"/>
        </w:rPr>
        <w:t>’</w:t>
      </w:r>
      <w:r w:rsidRPr="00B7512B">
        <w:t>acc</w:t>
      </w:r>
      <w:r w:rsidRPr="00B7512B">
        <w:rPr>
          <w:rFonts w:ascii="Aptos" w:hAnsi="Aptos" w:cs="Aptos"/>
        </w:rPr>
        <w:t>è</w:t>
      </w:r>
      <w:r w:rsidRPr="00B7512B">
        <w:t>s, l</w:t>
      </w:r>
      <w:r w:rsidRPr="00B7512B">
        <w:rPr>
          <w:rFonts w:ascii="Aptos" w:hAnsi="Aptos" w:cs="Aptos"/>
        </w:rPr>
        <w:t>’</w:t>
      </w:r>
      <w:r w:rsidRPr="00B7512B">
        <w:t>insertion et le maintien dans l</w:t>
      </w:r>
      <w:r w:rsidRPr="00B7512B">
        <w:rPr>
          <w:rFonts w:ascii="Aptos" w:hAnsi="Aptos" w:cs="Aptos"/>
        </w:rPr>
        <w:t>’</w:t>
      </w:r>
      <w:r w:rsidRPr="00B7512B">
        <w:t xml:space="preserve">emploi des personnes en situation de handicap. </w:t>
      </w:r>
      <w:r w:rsidRPr="00B7512B">
        <w:rPr>
          <w:rFonts w:ascii="Aptos" w:hAnsi="Aptos" w:cs="Aptos"/>
        </w:rPr>
        <w:t>À</w:t>
      </w:r>
      <w:r w:rsidRPr="00B7512B">
        <w:t xml:space="preserve"> d</w:t>
      </w:r>
      <w:r w:rsidRPr="00B7512B">
        <w:rPr>
          <w:rFonts w:ascii="Aptos" w:hAnsi="Aptos" w:cs="Aptos"/>
        </w:rPr>
        <w:t>é</w:t>
      </w:r>
      <w:r w:rsidRPr="00B7512B">
        <w:t>faut de respect, une contribution financi</w:t>
      </w:r>
      <w:r w:rsidRPr="00B7512B">
        <w:rPr>
          <w:rFonts w:ascii="Aptos" w:hAnsi="Aptos" w:cs="Aptos"/>
        </w:rPr>
        <w:t>è</w:t>
      </w:r>
      <w:r w:rsidRPr="00B7512B">
        <w:t xml:space="preserve">re est due. </w:t>
      </w:r>
      <w:hyperlink r:id="rId12" w:history="1">
        <w:r w:rsidRPr="00B7512B">
          <w:rPr>
            <w:rStyle w:val="Lienhypertexte"/>
          </w:rPr>
          <w:t>[rhmag.fr]</w:t>
        </w:r>
      </w:hyperlink>
    </w:p>
    <w:p w14:paraId="73E61A5A" w14:textId="77777777" w:rsidR="00B7512B" w:rsidRPr="00E3261E" w:rsidRDefault="00B7512B" w:rsidP="00E3261E"/>
    <w:p w14:paraId="540BFFBA" w14:textId="1AA9065B" w:rsidR="006950A2" w:rsidRDefault="006950A2"/>
    <w:sectPr w:rsidR="006950A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E45C" w14:textId="77777777" w:rsidR="006E07DB" w:rsidRDefault="006E07DB" w:rsidP="00FB335A">
      <w:pPr>
        <w:spacing w:after="0" w:line="240" w:lineRule="auto"/>
      </w:pPr>
      <w:r>
        <w:separator/>
      </w:r>
    </w:p>
  </w:endnote>
  <w:endnote w:type="continuationSeparator" w:id="0">
    <w:p w14:paraId="4941DA0B" w14:textId="77777777" w:rsidR="006E07DB" w:rsidRDefault="006E07DB" w:rsidP="00FB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680722"/>
      <w:docPartObj>
        <w:docPartGallery w:val="Page Numbers (Bottom of Page)"/>
        <w:docPartUnique/>
      </w:docPartObj>
    </w:sdtPr>
    <w:sdtContent>
      <w:p w14:paraId="7197F119" w14:textId="55AD185F" w:rsidR="00FB335A" w:rsidRDefault="00FB335A">
        <w:pPr>
          <w:pStyle w:val="Pieddepage"/>
          <w:jc w:val="right"/>
        </w:pPr>
        <w:r>
          <w:fldChar w:fldCharType="begin"/>
        </w:r>
        <w:r>
          <w:instrText>PAGE   \* MERGEFORMAT</w:instrText>
        </w:r>
        <w:r>
          <w:fldChar w:fldCharType="separate"/>
        </w:r>
        <w:r>
          <w:t>2</w:t>
        </w:r>
        <w:r>
          <w:fldChar w:fldCharType="end"/>
        </w:r>
      </w:p>
    </w:sdtContent>
  </w:sdt>
  <w:p w14:paraId="29414D06" w14:textId="77777777" w:rsidR="00FB335A" w:rsidRDefault="00FB33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E009" w14:textId="77777777" w:rsidR="006E07DB" w:rsidRDefault="006E07DB" w:rsidP="00FB335A">
      <w:pPr>
        <w:spacing w:after="0" w:line="240" w:lineRule="auto"/>
      </w:pPr>
      <w:r>
        <w:separator/>
      </w:r>
    </w:p>
  </w:footnote>
  <w:footnote w:type="continuationSeparator" w:id="0">
    <w:p w14:paraId="2F7F2232" w14:textId="77777777" w:rsidR="006E07DB" w:rsidRDefault="006E07DB" w:rsidP="00FB33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F73"/>
    <w:multiLevelType w:val="multilevel"/>
    <w:tmpl w:val="D1E8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82359"/>
    <w:multiLevelType w:val="multilevel"/>
    <w:tmpl w:val="73E6A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6ACB"/>
    <w:multiLevelType w:val="multilevel"/>
    <w:tmpl w:val="7F10E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8438C"/>
    <w:multiLevelType w:val="multilevel"/>
    <w:tmpl w:val="1716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70D11"/>
    <w:multiLevelType w:val="multilevel"/>
    <w:tmpl w:val="03CAC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16305E"/>
    <w:multiLevelType w:val="multilevel"/>
    <w:tmpl w:val="7B8C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0C7D49"/>
    <w:multiLevelType w:val="multilevel"/>
    <w:tmpl w:val="40C41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7D85"/>
    <w:multiLevelType w:val="multilevel"/>
    <w:tmpl w:val="77E63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765AB4"/>
    <w:multiLevelType w:val="multilevel"/>
    <w:tmpl w:val="C4A4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713794"/>
    <w:multiLevelType w:val="multilevel"/>
    <w:tmpl w:val="AFC48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B07F51"/>
    <w:multiLevelType w:val="multilevel"/>
    <w:tmpl w:val="492E01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B67764"/>
    <w:multiLevelType w:val="multilevel"/>
    <w:tmpl w:val="371C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D21BFB"/>
    <w:multiLevelType w:val="multilevel"/>
    <w:tmpl w:val="3BAE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302464"/>
    <w:multiLevelType w:val="multilevel"/>
    <w:tmpl w:val="AF2E1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B4FAF"/>
    <w:multiLevelType w:val="multilevel"/>
    <w:tmpl w:val="490E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0723AC"/>
    <w:multiLevelType w:val="multilevel"/>
    <w:tmpl w:val="8DBE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315FD"/>
    <w:multiLevelType w:val="multilevel"/>
    <w:tmpl w:val="6EF6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205A3E"/>
    <w:multiLevelType w:val="multilevel"/>
    <w:tmpl w:val="7B18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B737FB"/>
    <w:multiLevelType w:val="multilevel"/>
    <w:tmpl w:val="A1DE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2C40FE"/>
    <w:multiLevelType w:val="multilevel"/>
    <w:tmpl w:val="383EF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616753">
    <w:abstractNumId w:val="10"/>
  </w:num>
  <w:num w:numId="2" w16cid:durableId="710151522">
    <w:abstractNumId w:val="13"/>
  </w:num>
  <w:num w:numId="3" w16cid:durableId="421730326">
    <w:abstractNumId w:val="5"/>
  </w:num>
  <w:num w:numId="4" w16cid:durableId="1682469990">
    <w:abstractNumId w:val="8"/>
  </w:num>
  <w:num w:numId="5" w16cid:durableId="549341781">
    <w:abstractNumId w:val="12"/>
  </w:num>
  <w:num w:numId="6" w16cid:durableId="1275752277">
    <w:abstractNumId w:val="18"/>
  </w:num>
  <w:num w:numId="7" w16cid:durableId="1586499241">
    <w:abstractNumId w:val="17"/>
  </w:num>
  <w:num w:numId="8" w16cid:durableId="1501577573">
    <w:abstractNumId w:val="6"/>
  </w:num>
  <w:num w:numId="9" w16cid:durableId="862288364">
    <w:abstractNumId w:val="2"/>
  </w:num>
  <w:num w:numId="10" w16cid:durableId="433785359">
    <w:abstractNumId w:val="7"/>
  </w:num>
  <w:num w:numId="11" w16cid:durableId="573399414">
    <w:abstractNumId w:val="0"/>
  </w:num>
  <w:num w:numId="12" w16cid:durableId="825324759">
    <w:abstractNumId w:val="11"/>
  </w:num>
  <w:num w:numId="13" w16cid:durableId="1034504286">
    <w:abstractNumId w:val="9"/>
  </w:num>
  <w:num w:numId="14" w16cid:durableId="1051658615">
    <w:abstractNumId w:val="4"/>
  </w:num>
  <w:num w:numId="15" w16cid:durableId="1665427816">
    <w:abstractNumId w:val="15"/>
  </w:num>
  <w:num w:numId="16" w16cid:durableId="597327026">
    <w:abstractNumId w:val="1"/>
  </w:num>
  <w:num w:numId="17" w16cid:durableId="99687164">
    <w:abstractNumId w:val="3"/>
  </w:num>
  <w:num w:numId="18" w16cid:durableId="1732120365">
    <w:abstractNumId w:val="19"/>
  </w:num>
  <w:num w:numId="19" w16cid:durableId="1247887424">
    <w:abstractNumId w:val="14"/>
  </w:num>
  <w:num w:numId="20" w16cid:durableId="791635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78"/>
    <w:rsid w:val="0001099E"/>
    <w:rsid w:val="001C1214"/>
    <w:rsid w:val="00203F86"/>
    <w:rsid w:val="002820DC"/>
    <w:rsid w:val="00373593"/>
    <w:rsid w:val="00413411"/>
    <w:rsid w:val="00474C59"/>
    <w:rsid w:val="00503CD6"/>
    <w:rsid w:val="005D2178"/>
    <w:rsid w:val="005F2BB0"/>
    <w:rsid w:val="00685787"/>
    <w:rsid w:val="006950A2"/>
    <w:rsid w:val="006E07DB"/>
    <w:rsid w:val="007600F8"/>
    <w:rsid w:val="009758B6"/>
    <w:rsid w:val="009E25A0"/>
    <w:rsid w:val="00A322BD"/>
    <w:rsid w:val="00B32B35"/>
    <w:rsid w:val="00B639CB"/>
    <w:rsid w:val="00B7512B"/>
    <w:rsid w:val="00C723B2"/>
    <w:rsid w:val="00D9044B"/>
    <w:rsid w:val="00DB1929"/>
    <w:rsid w:val="00E3261E"/>
    <w:rsid w:val="00EB74C7"/>
    <w:rsid w:val="00F1082A"/>
    <w:rsid w:val="00FB33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00DB"/>
  <w15:chartTrackingRefBased/>
  <w15:docId w15:val="{265B6FD4-40F7-4D5C-B336-154A553A2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B0"/>
  </w:style>
  <w:style w:type="paragraph" w:styleId="Titre1">
    <w:name w:val="heading 1"/>
    <w:basedOn w:val="Normal"/>
    <w:next w:val="Normal"/>
    <w:link w:val="Titre1Car"/>
    <w:uiPriority w:val="9"/>
    <w:qFormat/>
    <w:rsid w:val="005D21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D21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D217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D217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D217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D217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D217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D217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D217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D21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D21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D217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D217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D217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D21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D21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D21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D2178"/>
    <w:rPr>
      <w:rFonts w:eastAsiaTheme="majorEastAsia" w:cstheme="majorBidi"/>
      <w:color w:val="272727" w:themeColor="text1" w:themeTint="D8"/>
    </w:rPr>
  </w:style>
  <w:style w:type="paragraph" w:styleId="Titre">
    <w:name w:val="Title"/>
    <w:basedOn w:val="Normal"/>
    <w:next w:val="Normal"/>
    <w:link w:val="TitreCar"/>
    <w:uiPriority w:val="10"/>
    <w:qFormat/>
    <w:rsid w:val="005D21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D21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D21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D21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D2178"/>
    <w:pPr>
      <w:spacing w:before="160"/>
      <w:jc w:val="center"/>
    </w:pPr>
    <w:rPr>
      <w:i/>
      <w:iCs/>
      <w:color w:val="404040" w:themeColor="text1" w:themeTint="BF"/>
    </w:rPr>
  </w:style>
  <w:style w:type="character" w:customStyle="1" w:styleId="CitationCar">
    <w:name w:val="Citation Car"/>
    <w:basedOn w:val="Policepardfaut"/>
    <w:link w:val="Citation"/>
    <w:uiPriority w:val="29"/>
    <w:rsid w:val="005D2178"/>
    <w:rPr>
      <w:i/>
      <w:iCs/>
      <w:color w:val="404040" w:themeColor="text1" w:themeTint="BF"/>
    </w:rPr>
  </w:style>
  <w:style w:type="paragraph" w:styleId="Paragraphedeliste">
    <w:name w:val="List Paragraph"/>
    <w:basedOn w:val="Normal"/>
    <w:uiPriority w:val="34"/>
    <w:qFormat/>
    <w:rsid w:val="005D2178"/>
    <w:pPr>
      <w:ind w:left="720"/>
      <w:contextualSpacing/>
    </w:pPr>
  </w:style>
  <w:style w:type="character" w:styleId="Accentuationintense">
    <w:name w:val="Intense Emphasis"/>
    <w:basedOn w:val="Policepardfaut"/>
    <w:uiPriority w:val="21"/>
    <w:qFormat/>
    <w:rsid w:val="005D2178"/>
    <w:rPr>
      <w:i/>
      <w:iCs/>
      <w:color w:val="0F4761" w:themeColor="accent1" w:themeShade="BF"/>
    </w:rPr>
  </w:style>
  <w:style w:type="paragraph" w:styleId="Citationintense">
    <w:name w:val="Intense Quote"/>
    <w:basedOn w:val="Normal"/>
    <w:next w:val="Normal"/>
    <w:link w:val="CitationintenseCar"/>
    <w:uiPriority w:val="30"/>
    <w:qFormat/>
    <w:rsid w:val="005D21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D2178"/>
    <w:rPr>
      <w:i/>
      <w:iCs/>
      <w:color w:val="0F4761" w:themeColor="accent1" w:themeShade="BF"/>
    </w:rPr>
  </w:style>
  <w:style w:type="character" w:styleId="Rfrenceintense">
    <w:name w:val="Intense Reference"/>
    <w:basedOn w:val="Policepardfaut"/>
    <w:uiPriority w:val="32"/>
    <w:qFormat/>
    <w:rsid w:val="005D2178"/>
    <w:rPr>
      <w:b/>
      <w:bCs/>
      <w:smallCaps/>
      <w:color w:val="0F4761" w:themeColor="accent1" w:themeShade="BF"/>
      <w:spacing w:val="5"/>
    </w:rPr>
  </w:style>
  <w:style w:type="paragraph" w:styleId="En-tte">
    <w:name w:val="header"/>
    <w:basedOn w:val="Normal"/>
    <w:link w:val="En-tteCar"/>
    <w:uiPriority w:val="99"/>
    <w:unhideWhenUsed/>
    <w:rsid w:val="00FB335A"/>
    <w:pPr>
      <w:tabs>
        <w:tab w:val="center" w:pos="4536"/>
        <w:tab w:val="right" w:pos="9072"/>
      </w:tabs>
      <w:spacing w:after="0" w:line="240" w:lineRule="auto"/>
    </w:pPr>
  </w:style>
  <w:style w:type="character" w:customStyle="1" w:styleId="En-tteCar">
    <w:name w:val="En-tête Car"/>
    <w:basedOn w:val="Policepardfaut"/>
    <w:link w:val="En-tte"/>
    <w:uiPriority w:val="99"/>
    <w:rsid w:val="00FB335A"/>
  </w:style>
  <w:style w:type="paragraph" w:styleId="Pieddepage">
    <w:name w:val="footer"/>
    <w:basedOn w:val="Normal"/>
    <w:link w:val="PieddepageCar"/>
    <w:uiPriority w:val="99"/>
    <w:unhideWhenUsed/>
    <w:rsid w:val="00FB33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335A"/>
  </w:style>
  <w:style w:type="paragraph" w:styleId="NormalWeb">
    <w:name w:val="Normal (Web)"/>
    <w:basedOn w:val="Normal"/>
    <w:uiPriority w:val="99"/>
    <w:semiHidden/>
    <w:unhideWhenUsed/>
    <w:rsid w:val="00E3261E"/>
    <w:rPr>
      <w:rFonts w:ascii="Times New Roman" w:hAnsi="Times New Roman" w:cs="Times New Roman"/>
      <w:sz w:val="24"/>
      <w:szCs w:val="24"/>
    </w:rPr>
  </w:style>
  <w:style w:type="character" w:styleId="Lienhypertexte">
    <w:name w:val="Hyperlink"/>
    <w:basedOn w:val="Policepardfaut"/>
    <w:uiPriority w:val="99"/>
    <w:unhideWhenUsed/>
    <w:rsid w:val="00E3261E"/>
    <w:rPr>
      <w:color w:val="467886" w:themeColor="hyperlink"/>
      <w:u w:val="single"/>
    </w:rPr>
  </w:style>
  <w:style w:type="character" w:styleId="Mentionnonrsolue">
    <w:name w:val="Unresolved Mention"/>
    <w:basedOn w:val="Policepardfaut"/>
    <w:uiPriority w:val="99"/>
    <w:semiHidden/>
    <w:unhideWhenUsed/>
    <w:rsid w:val="00E326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rhmag.fr/2026/03/25/boeth-definition-avant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gouv.fr/actualite/aah-et-handicap-allocations-droits-et-demarches-pour-en-benefici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onparcourshandicap.gouv.fr/glossaire/rqth" TargetMode="External"/><Relationship Id="rId4" Type="http://schemas.openxmlformats.org/officeDocument/2006/relationships/webSettings" Target="webSettings.xml"/><Relationship Id="rId9" Type="http://schemas.openxmlformats.org/officeDocument/2006/relationships/hyperlink" Target="https://www.economie.gouv.fr/entreprises/gerer-ses-ressources-humaines-et-ses-salaries/emploi-des-travailleurs-handicapes-0"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6</Pages>
  <Words>1383</Words>
  <Characters>7940</Characters>
  <Application>Microsoft Office Word</Application>
  <DocSecurity>0</DocSecurity>
  <Lines>193</Lines>
  <Paragraphs>139</Paragraphs>
  <ScaleCrop>false</ScaleCrop>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Giuseppe Lucatelli</dc:creator>
  <cp:keywords/>
  <dc:description/>
  <cp:lastModifiedBy>Giuseppe Lucatelli</cp:lastModifiedBy>
  <cp:revision>19</cp:revision>
  <dcterms:created xsi:type="dcterms:W3CDTF">2026-04-15T10:45:00Z</dcterms:created>
  <dcterms:modified xsi:type="dcterms:W3CDTF">2026-04-18T06:22:00Z</dcterms:modified>
</cp:coreProperties>
</file>