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6168" w14:textId="42185584" w:rsidR="002F01E8" w:rsidRPr="002F01E8" w:rsidRDefault="002F01E8" w:rsidP="002F01E8">
      <w:pPr>
        <w:jc w:val="center"/>
        <w:rPr>
          <w:b/>
          <w:bCs/>
          <w:noProof/>
          <w:sz w:val="28"/>
          <w:szCs w:val="28"/>
        </w:rPr>
      </w:pPr>
      <w:r w:rsidRPr="002F01E8">
        <w:rPr>
          <w:b/>
          <w:bCs/>
          <w:sz w:val="28"/>
          <w:szCs w:val="28"/>
        </w:rPr>
        <w:t>Supporting Young People Leaving Care</w:t>
      </w:r>
    </w:p>
    <w:p w14:paraId="543506FA" w14:textId="77777777" w:rsidR="002F01E8" w:rsidRDefault="002F01E8" w:rsidP="002F01E8">
      <w:pPr>
        <w:rPr>
          <w:b/>
          <w:bCs/>
        </w:rPr>
      </w:pPr>
    </w:p>
    <w:p w14:paraId="5BE7E48A" w14:textId="1DF4D250" w:rsidR="002F01E8" w:rsidRPr="002F01E8" w:rsidRDefault="002F01E8" w:rsidP="002F01E8">
      <w:pPr>
        <w:jc w:val="both"/>
        <w:rPr>
          <w:b/>
          <w:bCs/>
        </w:rPr>
      </w:pPr>
      <w:r w:rsidRPr="002F01E8">
        <w:rPr>
          <w:b/>
          <w:bCs/>
        </w:rPr>
        <w:t>1. Supporting Young People Leaving Care</w:t>
      </w:r>
    </w:p>
    <w:p w14:paraId="6A3768C8" w14:textId="77777777" w:rsidR="002F01E8" w:rsidRPr="002F01E8" w:rsidRDefault="002F01E8" w:rsidP="002F01E8">
      <w:pPr>
        <w:jc w:val="both"/>
        <w:rPr>
          <w:b/>
          <w:bCs/>
        </w:rPr>
      </w:pPr>
      <w:r w:rsidRPr="002F01E8">
        <w:rPr>
          <w:b/>
          <w:bCs/>
        </w:rPr>
        <w:t>Background &amp; Why It Matters</w:t>
      </w:r>
    </w:p>
    <w:p w14:paraId="6ABBBB03" w14:textId="77777777" w:rsidR="002F01E8" w:rsidRPr="002F01E8" w:rsidRDefault="002F01E8" w:rsidP="002F01E8">
      <w:pPr>
        <w:jc w:val="both"/>
      </w:pPr>
      <w:r w:rsidRPr="002F01E8">
        <w:t>When young people age out of the care system—typically at 18—they face uniquely steep challenges. Many enter adulthood with limited support networks, unstable housing, and minimal access to education or employment. This steep transition often hinders their ability to thrive independently.</w:t>
      </w:r>
    </w:p>
    <w:p w14:paraId="3F0253AE" w14:textId="77777777" w:rsidR="002F01E8" w:rsidRPr="002F01E8" w:rsidRDefault="002F01E8" w:rsidP="002F01E8">
      <w:pPr>
        <w:jc w:val="both"/>
        <w:rPr>
          <w:b/>
          <w:bCs/>
        </w:rPr>
      </w:pPr>
      <w:r w:rsidRPr="002F01E8">
        <w:rPr>
          <w:b/>
          <w:bCs/>
        </w:rPr>
        <w:t>The Numbers (UK Statistics)</w:t>
      </w:r>
    </w:p>
    <w:p w14:paraId="57512223" w14:textId="77777777" w:rsidR="002F01E8" w:rsidRPr="002F01E8" w:rsidRDefault="002F01E8" w:rsidP="002F01E8">
      <w:pPr>
        <w:numPr>
          <w:ilvl w:val="0"/>
          <w:numId w:val="1"/>
        </w:numPr>
        <w:jc w:val="both"/>
      </w:pPr>
      <w:r w:rsidRPr="002F01E8">
        <w:t xml:space="preserve">In 2023, </w:t>
      </w:r>
      <w:r w:rsidRPr="002F01E8">
        <w:rPr>
          <w:b/>
          <w:bCs/>
        </w:rPr>
        <w:t>13,112 young people in England</w:t>
      </w:r>
      <w:r w:rsidRPr="002F01E8">
        <w:t xml:space="preserve"> turned 18 and left care—an increase of 4% since 2020 </w:t>
      </w:r>
      <w:hyperlink r:id="rId7" w:tgtFrame="_blank" w:history="1">
        <w:r w:rsidRPr="002F01E8">
          <w:rPr>
            <w:rStyle w:val="Hyperlink"/>
          </w:rPr>
          <w:t>Home For Good</w:t>
        </w:r>
      </w:hyperlink>
      <w:r w:rsidRPr="002F01E8">
        <w:t>.</w:t>
      </w:r>
    </w:p>
    <w:p w14:paraId="5E977014" w14:textId="77777777" w:rsidR="002F01E8" w:rsidRPr="002F01E8" w:rsidRDefault="002F01E8" w:rsidP="002F01E8">
      <w:pPr>
        <w:numPr>
          <w:ilvl w:val="0"/>
          <w:numId w:val="1"/>
        </w:numPr>
        <w:jc w:val="both"/>
      </w:pPr>
      <w:r w:rsidRPr="002F01E8">
        <w:t xml:space="preserve">Care leavers are vastly overrepresented among the homeless—accounting for </w:t>
      </w:r>
      <w:r w:rsidRPr="002F01E8">
        <w:rPr>
          <w:b/>
          <w:bCs/>
        </w:rPr>
        <w:t>25% of adults experiencing homelessness</w:t>
      </w:r>
      <w:r w:rsidRPr="002F01E8">
        <w:t xml:space="preserve">, even though they make up a fraction of the population </w:t>
      </w:r>
      <w:hyperlink r:id="rId8" w:tgtFrame="_blank" w:history="1">
        <w:r w:rsidRPr="002F01E8">
          <w:rPr>
            <w:rStyle w:val="Hyperlink"/>
          </w:rPr>
          <w:t>Home For Good</w:t>
        </w:r>
      </w:hyperlink>
      <w:r w:rsidRPr="002F01E8">
        <w:t>.</w:t>
      </w:r>
    </w:p>
    <w:p w14:paraId="72B3A786" w14:textId="77777777" w:rsidR="002F01E8" w:rsidRPr="002F01E8" w:rsidRDefault="002F01E8" w:rsidP="002F01E8">
      <w:pPr>
        <w:numPr>
          <w:ilvl w:val="0"/>
          <w:numId w:val="1"/>
        </w:numPr>
        <w:jc w:val="both"/>
      </w:pPr>
      <w:r w:rsidRPr="002F01E8">
        <w:t xml:space="preserve">Many are not in education, employment, or training (NEET): </w:t>
      </w:r>
      <w:r w:rsidRPr="002F01E8">
        <w:rPr>
          <w:b/>
          <w:bCs/>
        </w:rPr>
        <w:t>39% of 19–21-year-old care leavers</w:t>
      </w:r>
      <w:r w:rsidRPr="002F01E8">
        <w:t xml:space="preserve"> are NEET, compared to just 13% of their peers </w:t>
      </w:r>
      <w:hyperlink r:id="rId9" w:tgtFrame="_blank" w:history="1">
        <w:r w:rsidRPr="002F01E8">
          <w:rPr>
            <w:rStyle w:val="Hyperlink"/>
          </w:rPr>
          <w:t>Home For Good</w:t>
        </w:r>
      </w:hyperlink>
      <w:r w:rsidRPr="002F01E8">
        <w:t>.</w:t>
      </w:r>
    </w:p>
    <w:p w14:paraId="712EADF9" w14:textId="77777777" w:rsidR="002F01E8" w:rsidRPr="002F01E8" w:rsidRDefault="002F01E8" w:rsidP="002F01E8">
      <w:pPr>
        <w:numPr>
          <w:ilvl w:val="0"/>
          <w:numId w:val="1"/>
        </w:numPr>
        <w:jc w:val="both"/>
      </w:pPr>
      <w:r w:rsidRPr="002F01E8">
        <w:t xml:space="preserve">Only </w:t>
      </w:r>
      <w:r w:rsidRPr="002F01E8">
        <w:rPr>
          <w:b/>
          <w:bCs/>
        </w:rPr>
        <w:t>9% of care leavers</w:t>
      </w:r>
      <w:r w:rsidRPr="002F01E8">
        <w:t xml:space="preserve"> enter higher education by age 19—far behind the national average of 47% </w:t>
      </w:r>
      <w:hyperlink r:id="rId10" w:tgtFrame="_blank" w:history="1">
        <w:r w:rsidRPr="002F01E8">
          <w:rPr>
            <w:rStyle w:val="Hyperlink"/>
          </w:rPr>
          <w:t>Home For Good</w:t>
        </w:r>
      </w:hyperlink>
      <w:r w:rsidRPr="002F01E8">
        <w:t>.</w:t>
      </w:r>
    </w:p>
    <w:p w14:paraId="26D511AF" w14:textId="77777777" w:rsidR="002F01E8" w:rsidRPr="002F01E8" w:rsidRDefault="002F01E8" w:rsidP="002F01E8">
      <w:pPr>
        <w:numPr>
          <w:ilvl w:val="0"/>
          <w:numId w:val="1"/>
        </w:numPr>
        <w:jc w:val="both"/>
      </w:pPr>
      <w:r w:rsidRPr="002F01E8">
        <w:t>Housing outcomes remain poor—</w:t>
      </w:r>
      <w:r w:rsidRPr="002F01E8">
        <w:rPr>
          <w:b/>
          <w:bCs/>
        </w:rPr>
        <w:t>7% of 17-year-olds</w:t>
      </w:r>
      <w:r w:rsidRPr="002F01E8">
        <w:t xml:space="preserve">, </w:t>
      </w:r>
      <w:r w:rsidRPr="002F01E8">
        <w:rPr>
          <w:b/>
          <w:bCs/>
        </w:rPr>
        <w:t>3% of 18-year-olds</w:t>
      </w:r>
      <w:r w:rsidRPr="002F01E8">
        <w:t xml:space="preserve">, and </w:t>
      </w:r>
      <w:r w:rsidRPr="002F01E8">
        <w:rPr>
          <w:b/>
          <w:bCs/>
        </w:rPr>
        <w:t>6% of 19–21-year-olds</w:t>
      </w:r>
      <w:r w:rsidRPr="002F01E8">
        <w:t xml:space="preserve"> live in unsuitable accommodation </w:t>
      </w:r>
      <w:hyperlink r:id="rId11" w:tgtFrame="_blank" w:history="1">
        <w:r w:rsidRPr="002F01E8">
          <w:rPr>
            <w:rStyle w:val="Hyperlink"/>
          </w:rPr>
          <w:t>Home For Good</w:t>
        </w:r>
      </w:hyperlink>
      <w:r w:rsidRPr="002F01E8">
        <w:t>.</w:t>
      </w:r>
    </w:p>
    <w:p w14:paraId="57143386" w14:textId="77777777" w:rsidR="002F01E8" w:rsidRPr="002F01E8" w:rsidRDefault="002F01E8" w:rsidP="002F01E8">
      <w:pPr>
        <w:numPr>
          <w:ilvl w:val="0"/>
          <w:numId w:val="1"/>
        </w:numPr>
        <w:jc w:val="both"/>
      </w:pPr>
      <w:r w:rsidRPr="002F01E8">
        <w:t xml:space="preserve">Transitional youth programs (e.g. “Staying Put”) remain underused: around </w:t>
      </w:r>
      <w:r w:rsidRPr="002F01E8">
        <w:rPr>
          <w:b/>
          <w:bCs/>
        </w:rPr>
        <w:t>two-thirds of eligible 19-year-olds</w:t>
      </w:r>
      <w:r w:rsidRPr="002F01E8">
        <w:t xml:space="preserve"> are not living with their foster carers, and only </w:t>
      </w:r>
      <w:r w:rsidRPr="002F01E8">
        <w:rPr>
          <w:b/>
          <w:bCs/>
        </w:rPr>
        <w:t>30% of local authorities</w:t>
      </w:r>
      <w:r w:rsidRPr="002F01E8">
        <w:t xml:space="preserve"> offer a “Staying Close” scheme </w:t>
      </w:r>
      <w:hyperlink r:id="rId12" w:tgtFrame="_blank" w:history="1">
        <w:r w:rsidRPr="002F01E8">
          <w:rPr>
            <w:rStyle w:val="Hyperlink"/>
          </w:rPr>
          <w:t>UK Parliament Committees</w:t>
        </w:r>
      </w:hyperlink>
      <w:r w:rsidRPr="002F01E8">
        <w:t>.</w:t>
      </w:r>
    </w:p>
    <w:p w14:paraId="3D098A6D" w14:textId="77777777" w:rsidR="002F01E8" w:rsidRPr="002F01E8" w:rsidRDefault="002F01E8" w:rsidP="002F01E8">
      <w:pPr>
        <w:jc w:val="both"/>
        <w:rPr>
          <w:b/>
          <w:bCs/>
        </w:rPr>
      </w:pPr>
      <w:r w:rsidRPr="002F01E8">
        <w:rPr>
          <w:b/>
          <w:bCs/>
        </w:rPr>
        <w:t>Local &amp; National Resources to Access</w:t>
      </w:r>
    </w:p>
    <w:p w14:paraId="32103CE8" w14:textId="77777777" w:rsidR="002F01E8" w:rsidRPr="002F01E8" w:rsidRDefault="002F01E8" w:rsidP="002F01E8">
      <w:pPr>
        <w:numPr>
          <w:ilvl w:val="0"/>
          <w:numId w:val="2"/>
        </w:numPr>
        <w:jc w:val="both"/>
      </w:pPr>
      <w:r w:rsidRPr="002F01E8">
        <w:rPr>
          <w:b/>
          <w:bCs/>
        </w:rPr>
        <w:t>Care Leavers Programme (UK Community Foundations):</w:t>
      </w:r>
      <w:r w:rsidRPr="002F01E8">
        <w:t xml:space="preserve"> A £3.6 million match-funding initiative over three years supporting young care leavers across 17 English regions—offering mentoring, housing support, and financial guidance </w:t>
      </w:r>
      <w:hyperlink r:id="rId13" w:tgtFrame="_blank" w:history="1">
        <w:r w:rsidRPr="002F01E8">
          <w:rPr>
            <w:rStyle w:val="Hyperlink"/>
          </w:rPr>
          <w:t>UK Community Foundations+1</w:t>
        </w:r>
      </w:hyperlink>
      <w:r w:rsidRPr="002F01E8">
        <w:t>.</w:t>
      </w:r>
    </w:p>
    <w:p w14:paraId="33FD6ACC" w14:textId="77777777" w:rsidR="002F01E8" w:rsidRPr="002F01E8" w:rsidRDefault="002F01E8" w:rsidP="002F01E8">
      <w:pPr>
        <w:numPr>
          <w:ilvl w:val="0"/>
          <w:numId w:val="2"/>
        </w:numPr>
        <w:jc w:val="both"/>
      </w:pPr>
      <w:r w:rsidRPr="002F01E8">
        <w:rPr>
          <w:b/>
          <w:bCs/>
        </w:rPr>
        <w:t>Buttle UK:</w:t>
      </w:r>
      <w:r w:rsidRPr="002F01E8">
        <w:t xml:space="preserve"> Offers grants to help children and young people in difficult circumstances—especially care-experienced youth navigating early adulthood </w:t>
      </w:r>
      <w:hyperlink r:id="rId14" w:tgtFrame="_blank" w:history="1">
        <w:r w:rsidRPr="002F01E8">
          <w:rPr>
            <w:rStyle w:val="Hyperlink"/>
          </w:rPr>
          <w:t>Wikipedia</w:t>
        </w:r>
      </w:hyperlink>
      <w:r w:rsidRPr="002F01E8">
        <w:t>.</w:t>
      </w:r>
    </w:p>
    <w:p w14:paraId="1BF6D7C6" w14:textId="77777777" w:rsidR="002F01E8" w:rsidRPr="002F01E8" w:rsidRDefault="002F01E8" w:rsidP="002F01E8">
      <w:pPr>
        <w:numPr>
          <w:ilvl w:val="0"/>
          <w:numId w:val="2"/>
        </w:numPr>
        <w:jc w:val="both"/>
      </w:pPr>
      <w:r w:rsidRPr="002F01E8">
        <w:rPr>
          <w:b/>
          <w:bCs/>
        </w:rPr>
        <w:lastRenderedPageBreak/>
        <w:t>The King’s Trust (formerly Prince’s Trust):</w:t>
      </w:r>
      <w:r w:rsidRPr="002F01E8">
        <w:t xml:space="preserve"> Acts as the UK’s leading youth charity—empowering young people through training, mentoring, and entrepreneurial support. Over 125,000 ventures launched by young people to date </w:t>
      </w:r>
      <w:hyperlink r:id="rId15" w:tgtFrame="_blank" w:history="1">
        <w:r w:rsidRPr="002F01E8">
          <w:rPr>
            <w:rStyle w:val="Hyperlink"/>
          </w:rPr>
          <w:t>Wikipedia</w:t>
        </w:r>
      </w:hyperlink>
      <w:r w:rsidRPr="002F01E8">
        <w:t>.</w:t>
      </w:r>
    </w:p>
    <w:p w14:paraId="67C07B3A" w14:textId="77777777" w:rsidR="002F01E8" w:rsidRPr="002F01E8" w:rsidRDefault="002F01E8" w:rsidP="002F01E8">
      <w:pPr>
        <w:numPr>
          <w:ilvl w:val="0"/>
          <w:numId w:val="2"/>
        </w:numPr>
        <w:jc w:val="both"/>
      </w:pPr>
      <w:r w:rsidRPr="002F01E8">
        <w:rPr>
          <w:b/>
          <w:bCs/>
        </w:rPr>
        <w:t>Action for Children:</w:t>
      </w:r>
      <w:r w:rsidRPr="002F01E8">
        <w:t xml:space="preserve"> Delivers direct support for care leavers including counselling, housing advice, mentoring, and educational assistance </w:t>
      </w:r>
      <w:hyperlink r:id="rId16" w:tgtFrame="_blank" w:history="1">
        <w:r w:rsidRPr="002F01E8">
          <w:rPr>
            <w:rStyle w:val="Hyperlink"/>
          </w:rPr>
          <w:t>Wikipedia</w:t>
        </w:r>
      </w:hyperlink>
      <w:r w:rsidRPr="002F01E8">
        <w:t>.</w:t>
      </w:r>
    </w:p>
    <w:p w14:paraId="5465C6EC" w14:textId="77777777" w:rsidR="00415852" w:rsidRPr="005A01BE" w:rsidRDefault="00415852" w:rsidP="002F01E8">
      <w:pPr>
        <w:jc w:val="both"/>
      </w:pPr>
    </w:p>
    <w:sectPr w:rsidR="00415852" w:rsidRPr="005A01BE" w:rsidSect="00186235">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9827" w14:textId="77777777" w:rsidR="00415852" w:rsidRDefault="00415852" w:rsidP="00415852">
      <w:pPr>
        <w:spacing w:after="0" w:line="240" w:lineRule="auto"/>
      </w:pPr>
      <w:r>
        <w:separator/>
      </w:r>
    </w:p>
  </w:endnote>
  <w:endnote w:type="continuationSeparator" w:id="0">
    <w:p w14:paraId="6BFBED11" w14:textId="77777777" w:rsidR="00415852" w:rsidRDefault="00415852" w:rsidP="0041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BD5C" w14:textId="77F57C3A" w:rsidR="00622715" w:rsidRPr="008D06C5" w:rsidRDefault="00186235" w:rsidP="00186235">
    <w:pPr>
      <w:pStyle w:val="Footer"/>
      <w:jc w:val="center"/>
      <w:rPr>
        <w:sz w:val="16"/>
        <w:szCs w:val="16"/>
      </w:rPr>
    </w:pPr>
    <w:r>
      <w:rPr>
        <w:sz w:val="16"/>
        <w:szCs w:val="16"/>
      </w:rPr>
      <w:t xml:space="preserve">Resource Library Information sheet – Adapted from other sources for information purposes only - </w:t>
    </w:r>
    <w:r w:rsidR="00622715" w:rsidRPr="008D06C5">
      <w:rPr>
        <w:sz w:val="16"/>
        <w:szCs w:val="16"/>
      </w:rPr>
      <w:t>HiddenMeCIC</w:t>
    </w:r>
    <w:r w:rsidR="008D06C5" w:rsidRPr="008D06C5">
      <w:rPr>
        <w:sz w:val="16"/>
        <w:szCs w:val="16"/>
      </w:rPr>
      <w:t>-2025</w:t>
    </w:r>
    <w:r w:rsidR="008D06C5">
      <w:rPr>
        <w:sz w:val="16"/>
        <w:szCs w:val="16"/>
      </w:rPr>
      <w:t>.</w:t>
    </w:r>
  </w:p>
  <w:p w14:paraId="730B8388" w14:textId="77777777" w:rsidR="00415852" w:rsidRDefault="0041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EFCC" w14:textId="77777777" w:rsidR="00415852" w:rsidRDefault="00415852" w:rsidP="00415852">
      <w:pPr>
        <w:spacing w:after="0" w:line="240" w:lineRule="auto"/>
      </w:pPr>
      <w:r>
        <w:separator/>
      </w:r>
    </w:p>
  </w:footnote>
  <w:footnote w:type="continuationSeparator" w:id="0">
    <w:p w14:paraId="6480F71E" w14:textId="77777777" w:rsidR="00415852" w:rsidRDefault="00415852" w:rsidP="0041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7AE8" w14:textId="7689B84B" w:rsidR="00415852" w:rsidRDefault="00415852" w:rsidP="00415852">
    <w:pPr>
      <w:pStyle w:val="Header"/>
      <w:jc w:val="center"/>
    </w:pPr>
    <w:sdt>
      <w:sdtPr>
        <w:id w:val="954147073"/>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0898892F" wp14:editId="75A85712">
                  <wp:simplePos x="0" y="0"/>
                  <wp:positionH relativeFrom="rightMargin">
                    <wp:align>center</wp:align>
                  </wp:positionH>
                  <wp:positionV relativeFrom="margin">
                    <wp:align>bottom</wp:align>
                  </wp:positionV>
                  <wp:extent cx="532765" cy="2183130"/>
                  <wp:effectExtent l="0" t="0" r="3810" b="0"/>
                  <wp:wrapNone/>
                  <wp:docPr id="20129871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8187" w14:textId="77777777" w:rsidR="00415852" w:rsidRDefault="0041585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898892F" id="Rectangle 6" o:spid="_x0000_s1026" style="position:absolute;left:0;text-align:left;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5ED38187" w14:textId="77777777" w:rsidR="00415852" w:rsidRDefault="0041585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Pr>
        <w:noProof/>
      </w:rPr>
      <w:drawing>
        <wp:inline distT="0" distB="0" distL="0" distR="0" wp14:anchorId="7DAE2665" wp14:editId="215D24EC">
          <wp:extent cx="947651" cy="947651"/>
          <wp:effectExtent l="0" t="0" r="5080" b="5080"/>
          <wp:docPr id="994641519" name="Picture 5" descr="A blue background with colorful people and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41519" name="Picture 5" descr="A blue background with colorful people and a ha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2298" cy="952298"/>
                  </a:xfrm>
                  <a:prstGeom prst="rect">
                    <a:avLst/>
                  </a:prstGeom>
                </pic:spPr>
              </pic:pic>
            </a:graphicData>
          </a:graphic>
        </wp:inline>
      </w:drawing>
    </w:r>
  </w:p>
  <w:p w14:paraId="6BC86ABE" w14:textId="77777777" w:rsidR="00415852" w:rsidRDefault="00415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D3FAF"/>
    <w:multiLevelType w:val="multilevel"/>
    <w:tmpl w:val="9EE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B23BD"/>
    <w:multiLevelType w:val="multilevel"/>
    <w:tmpl w:val="8606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981923">
    <w:abstractNumId w:val="0"/>
  </w:num>
  <w:num w:numId="2" w16cid:durableId="201957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6F"/>
    <w:rsid w:val="00186235"/>
    <w:rsid w:val="00205818"/>
    <w:rsid w:val="002F01E8"/>
    <w:rsid w:val="00415852"/>
    <w:rsid w:val="005A01BE"/>
    <w:rsid w:val="005E5B2D"/>
    <w:rsid w:val="00622715"/>
    <w:rsid w:val="008D06C5"/>
    <w:rsid w:val="00A43D6F"/>
    <w:rsid w:val="00A54CEC"/>
    <w:rsid w:val="00AF0651"/>
    <w:rsid w:val="00B7477D"/>
    <w:rsid w:val="00C212A0"/>
    <w:rsid w:val="00C64B63"/>
    <w:rsid w:val="00E52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C1781D"/>
  <w15:chartTrackingRefBased/>
  <w15:docId w15:val="{9C0BAF06-6FD9-48C0-8322-F4372397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D6F"/>
    <w:rPr>
      <w:rFonts w:eastAsiaTheme="majorEastAsia" w:cstheme="majorBidi"/>
      <w:color w:val="272727" w:themeColor="text1" w:themeTint="D8"/>
    </w:rPr>
  </w:style>
  <w:style w:type="paragraph" w:styleId="Title">
    <w:name w:val="Title"/>
    <w:basedOn w:val="Normal"/>
    <w:next w:val="Normal"/>
    <w:link w:val="TitleChar"/>
    <w:uiPriority w:val="10"/>
    <w:qFormat/>
    <w:rsid w:val="00A4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D6F"/>
    <w:pPr>
      <w:spacing w:before="160"/>
      <w:jc w:val="center"/>
    </w:pPr>
    <w:rPr>
      <w:i/>
      <w:iCs/>
      <w:color w:val="404040" w:themeColor="text1" w:themeTint="BF"/>
    </w:rPr>
  </w:style>
  <w:style w:type="character" w:customStyle="1" w:styleId="QuoteChar">
    <w:name w:val="Quote Char"/>
    <w:basedOn w:val="DefaultParagraphFont"/>
    <w:link w:val="Quote"/>
    <w:uiPriority w:val="29"/>
    <w:rsid w:val="00A43D6F"/>
    <w:rPr>
      <w:i/>
      <w:iCs/>
      <w:color w:val="404040" w:themeColor="text1" w:themeTint="BF"/>
    </w:rPr>
  </w:style>
  <w:style w:type="paragraph" w:styleId="ListParagraph">
    <w:name w:val="List Paragraph"/>
    <w:basedOn w:val="Normal"/>
    <w:uiPriority w:val="34"/>
    <w:qFormat/>
    <w:rsid w:val="00A43D6F"/>
    <w:pPr>
      <w:ind w:left="720"/>
      <w:contextualSpacing/>
    </w:pPr>
  </w:style>
  <w:style w:type="character" w:styleId="IntenseEmphasis">
    <w:name w:val="Intense Emphasis"/>
    <w:basedOn w:val="DefaultParagraphFont"/>
    <w:uiPriority w:val="21"/>
    <w:qFormat/>
    <w:rsid w:val="00A43D6F"/>
    <w:rPr>
      <w:i/>
      <w:iCs/>
      <w:color w:val="0F4761" w:themeColor="accent1" w:themeShade="BF"/>
    </w:rPr>
  </w:style>
  <w:style w:type="paragraph" w:styleId="IntenseQuote">
    <w:name w:val="Intense Quote"/>
    <w:basedOn w:val="Normal"/>
    <w:next w:val="Normal"/>
    <w:link w:val="IntenseQuoteChar"/>
    <w:uiPriority w:val="30"/>
    <w:qFormat/>
    <w:rsid w:val="00A4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D6F"/>
    <w:rPr>
      <w:i/>
      <w:iCs/>
      <w:color w:val="0F4761" w:themeColor="accent1" w:themeShade="BF"/>
    </w:rPr>
  </w:style>
  <w:style w:type="character" w:styleId="IntenseReference">
    <w:name w:val="Intense Reference"/>
    <w:basedOn w:val="DefaultParagraphFont"/>
    <w:uiPriority w:val="32"/>
    <w:qFormat/>
    <w:rsid w:val="00A43D6F"/>
    <w:rPr>
      <w:b/>
      <w:bCs/>
      <w:smallCaps/>
      <w:color w:val="0F4761" w:themeColor="accent1" w:themeShade="BF"/>
      <w:spacing w:val="5"/>
    </w:rPr>
  </w:style>
  <w:style w:type="character" w:styleId="Hyperlink">
    <w:name w:val="Hyperlink"/>
    <w:basedOn w:val="DefaultParagraphFont"/>
    <w:uiPriority w:val="99"/>
    <w:unhideWhenUsed/>
    <w:rsid w:val="00C212A0"/>
    <w:rPr>
      <w:color w:val="467886" w:themeColor="hyperlink"/>
      <w:u w:val="single"/>
    </w:rPr>
  </w:style>
  <w:style w:type="character" w:styleId="UnresolvedMention">
    <w:name w:val="Unresolved Mention"/>
    <w:basedOn w:val="DefaultParagraphFont"/>
    <w:uiPriority w:val="99"/>
    <w:semiHidden/>
    <w:unhideWhenUsed/>
    <w:rsid w:val="00C212A0"/>
    <w:rPr>
      <w:color w:val="605E5C"/>
      <w:shd w:val="clear" w:color="auto" w:fill="E1DFDD"/>
    </w:rPr>
  </w:style>
  <w:style w:type="paragraph" w:styleId="Header">
    <w:name w:val="header"/>
    <w:basedOn w:val="Normal"/>
    <w:link w:val="HeaderChar"/>
    <w:uiPriority w:val="99"/>
    <w:unhideWhenUsed/>
    <w:rsid w:val="0041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852"/>
  </w:style>
  <w:style w:type="paragraph" w:styleId="Footer">
    <w:name w:val="footer"/>
    <w:basedOn w:val="Normal"/>
    <w:link w:val="FooterChar"/>
    <w:uiPriority w:val="99"/>
    <w:unhideWhenUsed/>
    <w:rsid w:val="0041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forgood.org.uk/statistics?utm_source=chatgpt.com" TargetMode="External"/><Relationship Id="rId13" Type="http://schemas.openxmlformats.org/officeDocument/2006/relationships/hyperlink" Target="https://www.ukcommunityfoundations.org/our-impact/our-current-partnerships/the-care-leavers-programme/?utm_source=chatgpt.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omeforgood.org.uk/statistics?utm_source=chatgpt.com" TargetMode="External"/><Relationship Id="rId12" Type="http://schemas.openxmlformats.org/officeDocument/2006/relationships/hyperlink" Target="https://committees.parliament.uk/writtenevidence/137330/html/?utm_source=chatgp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Action_for_Children?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forgood.org.uk/statistics?utm_source=chatgpt.com" TargetMode="External"/><Relationship Id="rId5" Type="http://schemas.openxmlformats.org/officeDocument/2006/relationships/footnotes" Target="footnotes.xml"/><Relationship Id="rId15" Type="http://schemas.openxmlformats.org/officeDocument/2006/relationships/hyperlink" Target="https://en.wikipedia.org/wiki/King%27s_Trust?utm_source=chatgpt.com" TargetMode="External"/><Relationship Id="rId10" Type="http://schemas.openxmlformats.org/officeDocument/2006/relationships/hyperlink" Target="https://homeforgood.org.uk/statistics?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meforgood.org.uk/statistics?utm_source=chatgpt.com" TargetMode="External"/><Relationship Id="rId14" Type="http://schemas.openxmlformats.org/officeDocument/2006/relationships/hyperlink" Target="https://en.wikipedia.org/wiki/Buttle_UK?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Mindset For Success Group</dc:creator>
  <cp:keywords/>
  <dc:description/>
  <cp:lastModifiedBy>Mindset For Success Group</cp:lastModifiedBy>
  <cp:revision>2</cp:revision>
  <dcterms:created xsi:type="dcterms:W3CDTF">2025-08-19T21:40:00Z</dcterms:created>
  <dcterms:modified xsi:type="dcterms:W3CDTF">2025-08-19T21:40:00Z</dcterms:modified>
</cp:coreProperties>
</file>