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RESOLUTION NO. ______-25</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A RESOLUTION DIRECTING THE FINANCE DIRECTOR/FISCAL OFFICER TO ACTIVATE AND UTILIZE THE UNIFORM ACCOUNTING NETWORK (UAN) SOFTWARE INTEGRATION WITH OHIO CHECKBOOK (OHIOCHECKBOOK.COM) TO PUBLISH CITY FINANCIAL INFORMATION ONLINE WITH MAXIMUM LAWFUL TRANSPARENCY, GRANULAR DETAIL, AND HISTORICAL DEPTH; AND DECLARING AN EMERGENCY.</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s5ujzf7w3wfk" w:id="0"/>
      <w:bookmarkEnd w:id="0"/>
      <w:r w:rsidDel="00000000" w:rsidR="00000000" w:rsidRPr="00000000">
        <w:rPr>
          <w:b w:val="1"/>
          <w:bCs w:val="1"/>
          <w:color w:val="000000"/>
          <w:sz w:val="26"/>
          <w:szCs w:val="26"/>
          <w:rtl w:val="0"/>
        </w:rPr>
        <w:t xml:space="preserve">WHEREAS,</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t xml:space="preserve">The City of Sheffield Lake City Council is charged with safeguarding the public treasury and ensuring accountable, transparent government for the residents of Sheffield Lake; and</w:t>
        <w:br w:type="textWrapping"/>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The State of Ohio provides a public financial transparency portal known as </w:t>
      </w:r>
      <w:r w:rsidDel="00000000" w:rsidR="00000000" w:rsidRPr="00000000">
        <w:rPr>
          <w:b w:val="1"/>
          <w:bCs w:val="1"/>
          <w:rtl w:val="0"/>
        </w:rPr>
        <w:t xml:space="preserve">Ohio Checkbook</w:t>
      </w:r>
      <w:r w:rsidDel="00000000" w:rsidR="00000000" w:rsidRPr="00000000">
        <w:rPr>
          <w:rtl w:val="0"/>
        </w:rPr>
        <w:t xml:space="preserve"> (OhioCheckbook.com), intended to allow citizens to review local government revenues, expenditures, payroll, and related fiscal activity; and</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The City of Sheffield Lake utilizes the </w:t>
      </w:r>
      <w:r w:rsidDel="00000000" w:rsidR="00000000" w:rsidRPr="00000000">
        <w:rPr>
          <w:b w:val="1"/>
          <w:bCs w:val="1"/>
          <w:rtl w:val="0"/>
        </w:rPr>
        <w:t xml:space="preserve">Uniform Accounting Network (UAN)</w:t>
      </w:r>
      <w:r w:rsidDel="00000000" w:rsidR="00000000" w:rsidRPr="00000000">
        <w:rPr>
          <w:rtl w:val="0"/>
        </w:rPr>
        <w:t xml:space="preserve"> software provided through the Ohio Auditor of State for municipal accounting and reporting; and</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The UAN system includes functionality to transmit or publish municipal financial data to Ohio Checkbook in a manner that can provide meaningful, searchable, and detailed public access; and</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Public confidence in government is strengthened when residents can independently verify how public funds are collected, appropriated, and spent; and</w:t>
        <w:br w:type="textWrapping"/>
      </w:r>
    </w:p>
    <w:p w:rsidR="00000000" w:rsidDel="00000000" w:rsidP="00000000" w:rsidRDefault="00000000" w:rsidRPr="00000000" w14:paraId="0000000A">
      <w:pPr>
        <w:numPr>
          <w:ilvl w:val="0"/>
          <w:numId w:val="2"/>
        </w:numPr>
        <w:spacing w:after="240" w:before="0" w:beforeAutospacing="0" w:lineRule="auto"/>
        <w:ind w:left="720" w:hanging="360"/>
      </w:pPr>
      <w:r w:rsidDel="00000000" w:rsidR="00000000" w:rsidRPr="00000000">
        <w:rPr>
          <w:rtl w:val="0"/>
        </w:rPr>
        <w:t xml:space="preserve">Council desires that the City publish financial data online with the </w:t>
      </w:r>
      <w:r w:rsidDel="00000000" w:rsidR="00000000" w:rsidRPr="00000000">
        <w:rPr>
          <w:b w:val="1"/>
          <w:bCs w:val="1"/>
          <w:rtl w:val="0"/>
        </w:rPr>
        <w:t xml:space="preserve">highest level of detail and historical coverage permitted by law, while protecting confidential or exempt information</w:t>
      </w:r>
      <w:r w:rsidDel="00000000" w:rsidR="00000000" w:rsidRPr="00000000">
        <w:rPr>
          <w:rtl w:val="0"/>
        </w:rPr>
        <w:t xml:space="preserve"> under Ohio law.</w:t>
        <w:br w:type="textWrapping"/>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cc3rknnx9qdv" w:id="1"/>
      <w:bookmarkEnd w:id="1"/>
      <w:r w:rsidDel="00000000" w:rsidR="00000000" w:rsidRPr="00000000">
        <w:rPr>
          <w:b w:val="1"/>
          <w:bCs w:val="1"/>
          <w:color w:val="000000"/>
          <w:sz w:val="26"/>
          <w:szCs w:val="26"/>
          <w:rtl w:val="0"/>
        </w:rPr>
        <w:t xml:space="preserve">NOW, THEREFORE, BE IT RESOLVED BY THE COUNCIL OF THE CITY OF SHEFFIELD LAKE, COUNTY OF LORAIN, STATE OF OHIO, THAT:</w:t>
      </w:r>
    </w:p>
    <w:p w:rsidR="00000000" w:rsidDel="00000000" w:rsidP="00000000" w:rsidRDefault="00000000" w:rsidRPr="00000000" w14:paraId="0000000D">
      <w:pPr>
        <w:pStyle w:val="Heading4"/>
        <w:keepNext w:val="0"/>
        <w:keepLines w:val="0"/>
        <w:spacing w:after="40" w:before="240" w:lineRule="auto"/>
        <w:rPr>
          <w:b w:val="1"/>
          <w:bCs w:val="1"/>
          <w:color w:val="000000"/>
          <w:sz w:val="22"/>
          <w:szCs w:val="22"/>
        </w:rPr>
      </w:pPr>
      <w:bookmarkStart w:colFirst="0" w:colLast="0" w:name="_1khujvs9uwmv" w:id="2"/>
      <w:bookmarkEnd w:id="2"/>
      <w:r w:rsidDel="00000000" w:rsidR="00000000" w:rsidRPr="00000000">
        <w:rPr>
          <w:b w:val="1"/>
          <w:bCs w:val="1"/>
          <w:color w:val="000000"/>
          <w:sz w:val="22"/>
          <w:szCs w:val="22"/>
          <w:rtl w:val="0"/>
        </w:rPr>
        <w:t xml:space="preserve">SECTION 1. Activation and Use of Ohio Checkbook.</w:t>
      </w:r>
    </w:p>
    <w:p w:rsidR="00000000" w:rsidDel="00000000" w:rsidP="00000000" w:rsidRDefault="00000000" w:rsidRPr="00000000" w14:paraId="0000000E">
      <w:pPr>
        <w:spacing w:after="240" w:before="240" w:lineRule="auto"/>
        <w:rPr/>
      </w:pPr>
      <w:r w:rsidDel="00000000" w:rsidR="00000000" w:rsidRPr="00000000">
        <w:rPr>
          <w:rtl w:val="0"/>
        </w:rPr>
        <w:t xml:space="preserve">The Finance Director/Fiscal Officer is hereby directed to </w:t>
      </w:r>
      <w:r w:rsidDel="00000000" w:rsidR="00000000" w:rsidRPr="00000000">
        <w:rPr>
          <w:b w:val="1"/>
          <w:bCs w:val="1"/>
          <w:rtl w:val="0"/>
        </w:rPr>
        <w:t xml:space="preserve">activate, configure, and continuously utilize the UAN software’s Ohio Checkbook integration</w:t>
      </w:r>
      <w:r w:rsidDel="00000000" w:rsidR="00000000" w:rsidRPr="00000000">
        <w:rPr>
          <w:rtl w:val="0"/>
        </w:rPr>
        <w:t xml:space="preserve"> (or any successor UAN-to-Ohio-Checkbook publishing mechanism) to place the City’s financial information online through Ohio Checkbook.</w:t>
      </w:r>
    </w:p>
    <w:p w:rsidR="00000000" w:rsidDel="00000000" w:rsidP="00000000" w:rsidRDefault="00000000" w:rsidRPr="00000000" w14:paraId="0000000F">
      <w:pPr>
        <w:pStyle w:val="Heading4"/>
        <w:keepNext w:val="0"/>
        <w:keepLines w:val="0"/>
        <w:spacing w:after="40" w:before="240" w:lineRule="auto"/>
        <w:rPr>
          <w:b w:val="1"/>
          <w:bCs w:val="1"/>
          <w:color w:val="000000"/>
          <w:sz w:val="22"/>
          <w:szCs w:val="22"/>
        </w:rPr>
      </w:pPr>
      <w:bookmarkStart w:colFirst="0" w:colLast="0" w:name="_7nuw9v4y696u" w:id="3"/>
      <w:bookmarkEnd w:id="3"/>
      <w:r w:rsidDel="00000000" w:rsidR="00000000" w:rsidRPr="00000000">
        <w:rPr>
          <w:b w:val="1"/>
          <w:bCs w:val="1"/>
          <w:color w:val="000000"/>
          <w:sz w:val="22"/>
          <w:szCs w:val="22"/>
          <w:rtl w:val="0"/>
        </w:rPr>
        <w:t xml:space="preserve">SECTION 2. Maximum Lawful Transparency and Granularity.</w:t>
      </w:r>
    </w:p>
    <w:p w:rsidR="00000000" w:rsidDel="00000000" w:rsidP="00000000" w:rsidRDefault="00000000" w:rsidRPr="00000000" w14:paraId="00000010">
      <w:pPr>
        <w:spacing w:after="240" w:before="240" w:lineRule="auto"/>
        <w:rPr/>
      </w:pPr>
      <w:r w:rsidDel="00000000" w:rsidR="00000000" w:rsidRPr="00000000">
        <w:rPr>
          <w:rtl w:val="0"/>
        </w:rPr>
        <w:t xml:space="preserve">The Finance Director/Fiscal Officer shall publish City financial information on Ohio Checkbook </w:t>
      </w:r>
      <w:r w:rsidDel="00000000" w:rsidR="00000000" w:rsidRPr="00000000">
        <w:rPr>
          <w:b w:val="1"/>
          <w:bCs w:val="1"/>
          <w:rtl w:val="0"/>
        </w:rPr>
        <w:t xml:space="preserve">with the maximum transparency and most granular detail permitted by Ohio law</w:t>
      </w:r>
      <w:r w:rsidDel="00000000" w:rsidR="00000000" w:rsidRPr="00000000">
        <w:rPr>
          <w:rtl w:val="0"/>
        </w:rPr>
        <w:t xml:space="preserve">, including, where available and lawful:</w:t>
      </w:r>
    </w:p>
    <w:p w:rsidR="00000000" w:rsidDel="00000000" w:rsidP="00000000" w:rsidRDefault="00000000" w:rsidRPr="00000000" w14:paraId="00000011">
      <w:pPr>
        <w:spacing w:after="240" w:before="240" w:lineRule="auto"/>
        <w:rPr>
          <w:b w:val="1"/>
          <w:bCs w:val="1"/>
        </w:rPr>
      </w:pPr>
      <w:r w:rsidDel="00000000" w:rsidR="00000000" w:rsidRPr="00000000">
        <w:rPr>
          <w:rtl w:val="0"/>
        </w:rPr>
        <w:t xml:space="preserve">A. </w:t>
      </w:r>
      <w:r w:rsidDel="00000000" w:rsidR="00000000" w:rsidRPr="00000000">
        <w:rPr>
          <w:b w:val="1"/>
          <w:bCs w:val="1"/>
          <w:rtl w:val="0"/>
        </w:rPr>
        <w:t xml:space="preserve">Expenditures / Disbursements</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t xml:space="preserve">Vendor name</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Date of payment</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Amount</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Fund, department, and line-item / account code</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Check number / warrant identifier</w:t>
        <w:br w:type="textWrapping"/>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tl w:val="0"/>
        </w:rPr>
        <w:t xml:space="preserve">Purpose/description of payment to the maximum extent supported by UAN</w:t>
        <w:br w:type="textWrapping"/>
      </w:r>
    </w:p>
    <w:p w:rsidR="00000000" w:rsidDel="00000000" w:rsidP="00000000" w:rsidRDefault="00000000" w:rsidRPr="00000000" w14:paraId="00000018">
      <w:pPr>
        <w:spacing w:after="240" w:before="240" w:lineRule="auto"/>
        <w:rPr>
          <w:b w:val="1"/>
          <w:bCs w:val="1"/>
        </w:rPr>
      </w:pPr>
      <w:r w:rsidDel="00000000" w:rsidR="00000000" w:rsidRPr="00000000">
        <w:rPr>
          <w:rtl w:val="0"/>
        </w:rPr>
        <w:t xml:space="preserve">B. </w:t>
      </w:r>
      <w:r w:rsidDel="00000000" w:rsidR="00000000" w:rsidRPr="00000000">
        <w:rPr>
          <w:b w:val="1"/>
          <w:bCs w:val="1"/>
          <w:rtl w:val="0"/>
        </w:rPr>
        <w:t xml:space="preserve">Revenues / Receipts</w:t>
      </w:r>
    </w:p>
    <w:p w:rsidR="00000000" w:rsidDel="00000000" w:rsidP="00000000" w:rsidRDefault="00000000" w:rsidRPr="00000000" w14:paraId="00000019">
      <w:pPr>
        <w:numPr>
          <w:ilvl w:val="0"/>
          <w:numId w:val="4"/>
        </w:numPr>
        <w:spacing w:after="0" w:afterAutospacing="0" w:before="240" w:lineRule="auto"/>
        <w:ind w:left="720" w:hanging="360"/>
      </w:pPr>
      <w:r w:rsidDel="00000000" w:rsidR="00000000" w:rsidRPr="00000000">
        <w:rPr>
          <w:rtl w:val="0"/>
        </w:rPr>
        <w:t xml:space="preserve">Source of revenue</w:t>
        <w:br w:type="textWrapping"/>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tl w:val="0"/>
        </w:rPr>
        <w:t xml:space="preserve">Date received</w:t>
        <w:br w:type="textWrapping"/>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rtl w:val="0"/>
        </w:rPr>
        <w:t xml:space="preserve">Amount</w:t>
        <w:br w:type="textWrapping"/>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Fund and account classification</w:t>
        <w:br w:type="textWrapping"/>
      </w:r>
    </w:p>
    <w:p w:rsidR="00000000" w:rsidDel="00000000" w:rsidP="00000000" w:rsidRDefault="00000000" w:rsidRPr="00000000" w14:paraId="0000001D">
      <w:pPr>
        <w:numPr>
          <w:ilvl w:val="0"/>
          <w:numId w:val="4"/>
        </w:numPr>
        <w:spacing w:after="240" w:before="0" w:beforeAutospacing="0" w:lineRule="auto"/>
        <w:ind w:left="720" w:hanging="360"/>
      </w:pPr>
      <w:r w:rsidDel="00000000" w:rsidR="00000000" w:rsidRPr="00000000">
        <w:rPr>
          <w:rtl w:val="0"/>
        </w:rPr>
        <w:t xml:space="preserve">Description/category to the maximum extent supported by UAN</w:t>
        <w:br w:type="textWrapping"/>
      </w:r>
    </w:p>
    <w:p w:rsidR="00000000" w:rsidDel="00000000" w:rsidP="00000000" w:rsidRDefault="00000000" w:rsidRPr="00000000" w14:paraId="0000001E">
      <w:pPr>
        <w:spacing w:after="240" w:before="240" w:lineRule="auto"/>
        <w:rPr>
          <w:b w:val="1"/>
          <w:bCs w:val="1"/>
        </w:rPr>
      </w:pPr>
      <w:r w:rsidDel="00000000" w:rsidR="00000000" w:rsidRPr="00000000">
        <w:rPr>
          <w:rtl w:val="0"/>
        </w:rPr>
        <w:t xml:space="preserve">C. </w:t>
      </w:r>
      <w:r w:rsidDel="00000000" w:rsidR="00000000" w:rsidRPr="00000000">
        <w:rPr>
          <w:b w:val="1"/>
          <w:bCs w:val="1"/>
          <w:rtl w:val="0"/>
        </w:rPr>
        <w:t xml:space="preserve">Payroll and Compensation</w:t>
      </w:r>
    </w:p>
    <w:p w:rsidR="00000000" w:rsidDel="00000000" w:rsidP="00000000" w:rsidRDefault="00000000" w:rsidRPr="00000000" w14:paraId="0000001F">
      <w:pPr>
        <w:numPr>
          <w:ilvl w:val="0"/>
          <w:numId w:val="5"/>
        </w:numPr>
        <w:spacing w:after="0" w:afterAutospacing="0" w:before="240" w:lineRule="auto"/>
        <w:ind w:left="720" w:hanging="360"/>
      </w:pPr>
      <w:r w:rsidDel="00000000" w:rsidR="00000000" w:rsidRPr="00000000">
        <w:rPr>
          <w:rtl w:val="0"/>
        </w:rPr>
        <w:t xml:space="preserve">Employee name or position title as required by Ohio Checkbook standards</w:t>
        <w:br w:type="textWrapping"/>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rtl w:val="0"/>
        </w:rPr>
        <w:t xml:space="preserve">Gross pay, overtime, and other pay categories</w:t>
        <w:br w:type="textWrapping"/>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rtl w:val="0"/>
        </w:rPr>
        <w:t xml:space="preserve">Pay period and year-to-date totals</w:t>
        <w:br w:type="textWrapping"/>
      </w:r>
    </w:p>
    <w:p w:rsidR="00000000" w:rsidDel="00000000" w:rsidP="00000000" w:rsidRDefault="00000000" w:rsidRPr="00000000" w14:paraId="00000022">
      <w:pPr>
        <w:numPr>
          <w:ilvl w:val="0"/>
          <w:numId w:val="5"/>
        </w:numPr>
        <w:spacing w:after="240" w:before="0" w:beforeAutospacing="0" w:lineRule="auto"/>
        <w:ind w:left="720" w:hanging="360"/>
      </w:pPr>
      <w:r w:rsidDel="00000000" w:rsidR="00000000" w:rsidRPr="00000000">
        <w:rPr>
          <w:rtl w:val="0"/>
        </w:rPr>
        <w:t xml:space="preserve">Benefits and employer contributions where supported and lawful</w:t>
        <w:br w:type="textWrapping"/>
      </w:r>
    </w:p>
    <w:p w:rsidR="00000000" w:rsidDel="00000000" w:rsidP="00000000" w:rsidRDefault="00000000" w:rsidRPr="00000000" w14:paraId="00000023">
      <w:pPr>
        <w:spacing w:after="240" w:before="240" w:lineRule="auto"/>
        <w:rPr>
          <w:b w:val="1"/>
          <w:bCs w:val="1"/>
        </w:rPr>
      </w:pPr>
      <w:r w:rsidDel="00000000" w:rsidR="00000000" w:rsidRPr="00000000">
        <w:rPr>
          <w:rtl w:val="0"/>
        </w:rPr>
        <w:t xml:space="preserve">D. </w:t>
      </w:r>
      <w:r w:rsidDel="00000000" w:rsidR="00000000" w:rsidRPr="00000000">
        <w:rPr>
          <w:b w:val="1"/>
          <w:bCs w:val="1"/>
          <w:rtl w:val="0"/>
        </w:rPr>
        <w:t xml:space="preserve">Budget and Appropriation Context</w:t>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rtl w:val="0"/>
        </w:rPr>
        <w:t xml:space="preserve">Annual appropriations by fund and function</w:t>
        <w:br w:type="textWrapping"/>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Year-to-date expenditures versus appropriations</w:t>
        <w:br w:type="textWrapping"/>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rtl w:val="0"/>
        </w:rPr>
        <w:t xml:space="preserve">Encumbrances and remaining balances where supported</w:t>
        <w:br w:type="textWrapping"/>
      </w:r>
    </w:p>
    <w:p w:rsidR="00000000" w:rsidDel="00000000" w:rsidP="00000000" w:rsidRDefault="00000000" w:rsidRPr="00000000" w14:paraId="00000027">
      <w:pPr>
        <w:spacing w:after="240" w:before="240" w:lineRule="auto"/>
        <w:rPr>
          <w:b w:val="1"/>
          <w:bCs w:val="1"/>
        </w:rPr>
      </w:pPr>
      <w:r w:rsidDel="00000000" w:rsidR="00000000" w:rsidRPr="00000000">
        <w:rPr>
          <w:rtl w:val="0"/>
        </w:rPr>
        <w:t xml:space="preserve">E. </w:t>
      </w:r>
      <w:r w:rsidDel="00000000" w:rsidR="00000000" w:rsidRPr="00000000">
        <w:rPr>
          <w:b w:val="1"/>
          <w:bCs w:val="1"/>
          <w:rtl w:val="0"/>
        </w:rPr>
        <w:t xml:space="preserve">Capital, Grants, and Special Funds</w:t>
      </w:r>
    </w:p>
    <w:p w:rsidR="00000000" w:rsidDel="00000000" w:rsidP="00000000" w:rsidRDefault="00000000" w:rsidRPr="00000000" w14:paraId="00000028">
      <w:pPr>
        <w:numPr>
          <w:ilvl w:val="0"/>
          <w:numId w:val="6"/>
        </w:numPr>
        <w:spacing w:after="0" w:afterAutospacing="0" w:before="240" w:lineRule="auto"/>
        <w:ind w:left="720" w:hanging="360"/>
      </w:pPr>
      <w:r w:rsidDel="00000000" w:rsidR="00000000" w:rsidRPr="00000000">
        <w:rPr>
          <w:rtl w:val="0"/>
        </w:rPr>
        <w:t xml:space="preserve">ARPA, state/federal grants, or restricted funds with project-level detail where supported</w:t>
        <w:br w:type="textWrapping"/>
      </w:r>
    </w:p>
    <w:p w:rsidR="00000000" w:rsidDel="00000000" w:rsidP="00000000" w:rsidRDefault="00000000" w:rsidRPr="00000000" w14:paraId="00000029">
      <w:pPr>
        <w:numPr>
          <w:ilvl w:val="0"/>
          <w:numId w:val="6"/>
        </w:numPr>
        <w:spacing w:after="240" w:before="0" w:beforeAutospacing="0" w:lineRule="auto"/>
        <w:ind w:left="720" w:hanging="360"/>
      </w:pPr>
      <w:r w:rsidDel="00000000" w:rsidR="00000000" w:rsidRPr="00000000">
        <w:rPr>
          <w:rtl w:val="0"/>
        </w:rPr>
        <w:t xml:space="preserve">Matching funds and expenditure tracking where supported</w:t>
        <w:br w:type="textWrapping"/>
      </w:r>
    </w:p>
    <w:p w:rsidR="00000000" w:rsidDel="00000000" w:rsidP="00000000" w:rsidRDefault="00000000" w:rsidRPr="00000000" w14:paraId="0000002A">
      <w:pPr>
        <w:pStyle w:val="Heading4"/>
        <w:keepNext w:val="0"/>
        <w:keepLines w:val="0"/>
        <w:spacing w:after="40" w:before="240" w:lineRule="auto"/>
        <w:rPr>
          <w:b w:val="1"/>
          <w:bCs w:val="1"/>
          <w:color w:val="000000"/>
          <w:sz w:val="22"/>
          <w:szCs w:val="22"/>
        </w:rPr>
      </w:pPr>
      <w:bookmarkStart w:colFirst="0" w:colLast="0" w:name="_3lwc5tuobj2q" w:id="4"/>
      <w:bookmarkEnd w:id="4"/>
      <w:r w:rsidDel="00000000" w:rsidR="00000000" w:rsidRPr="00000000">
        <w:rPr>
          <w:b w:val="1"/>
          <w:bCs w:val="1"/>
          <w:color w:val="000000"/>
          <w:sz w:val="22"/>
          <w:szCs w:val="22"/>
          <w:rtl w:val="0"/>
        </w:rPr>
        <w:t xml:space="preserve">SECTION 3. Historical Years—Maximum Available Upload.</w:t>
      </w:r>
    </w:p>
    <w:p w:rsidR="00000000" w:rsidDel="00000000" w:rsidP="00000000" w:rsidRDefault="00000000" w:rsidRPr="00000000" w14:paraId="0000002B">
      <w:pPr>
        <w:spacing w:after="240" w:before="240" w:lineRule="auto"/>
        <w:rPr/>
      </w:pPr>
      <w:r w:rsidDel="00000000" w:rsidR="00000000" w:rsidRPr="00000000">
        <w:rPr>
          <w:rtl w:val="0"/>
        </w:rPr>
        <w:t xml:space="preserve">The Finance Director/Fiscal Officer shall upload and maintain on Ohio Checkbook </w:t>
      </w:r>
      <w:r w:rsidDel="00000000" w:rsidR="00000000" w:rsidRPr="00000000">
        <w:rPr>
          <w:b w:val="1"/>
          <w:bCs w:val="1"/>
          <w:rtl w:val="0"/>
        </w:rPr>
        <w:t xml:space="preserve">the maximum number of previous fiscal years available through UAN and Ohio Checkbook</w:t>
      </w:r>
      <w:r w:rsidDel="00000000" w:rsidR="00000000" w:rsidRPr="00000000">
        <w:rPr>
          <w:rtl w:val="0"/>
        </w:rPr>
        <w:t xml:space="preserve">, so that residents may review trends over time. This includes any historical backfill functionality available through UAN or by authorized batch upload to Ohio Checkbook.</w:t>
      </w:r>
    </w:p>
    <w:p w:rsidR="00000000" w:rsidDel="00000000" w:rsidP="00000000" w:rsidRDefault="00000000" w:rsidRPr="00000000" w14:paraId="0000002C">
      <w:pPr>
        <w:pStyle w:val="Heading4"/>
        <w:keepNext w:val="0"/>
        <w:keepLines w:val="0"/>
        <w:spacing w:after="40" w:before="240" w:lineRule="auto"/>
        <w:rPr>
          <w:b w:val="1"/>
          <w:bCs w:val="1"/>
          <w:color w:val="000000"/>
          <w:sz w:val="22"/>
          <w:szCs w:val="22"/>
        </w:rPr>
      </w:pPr>
      <w:bookmarkStart w:colFirst="0" w:colLast="0" w:name="_3ucm2wta4edf" w:id="5"/>
      <w:bookmarkEnd w:id="5"/>
      <w:r w:rsidDel="00000000" w:rsidR="00000000" w:rsidRPr="00000000">
        <w:rPr>
          <w:b w:val="1"/>
          <w:bCs w:val="1"/>
          <w:color w:val="000000"/>
          <w:sz w:val="22"/>
          <w:szCs w:val="22"/>
          <w:rtl w:val="0"/>
        </w:rPr>
        <w:t xml:space="preserve">SECTION 4. Compliance With Law and Redaction of Protected Information.</w:t>
      </w:r>
    </w:p>
    <w:p w:rsidR="00000000" w:rsidDel="00000000" w:rsidP="00000000" w:rsidRDefault="00000000" w:rsidRPr="00000000" w14:paraId="0000002D">
      <w:pPr>
        <w:spacing w:after="240" w:before="240" w:lineRule="auto"/>
        <w:rPr/>
      </w:pPr>
      <w:r w:rsidDel="00000000" w:rsidR="00000000" w:rsidRPr="00000000">
        <w:rPr>
          <w:rtl w:val="0"/>
        </w:rPr>
        <w:t xml:space="preserve">Nothing in this Resolution shall be construed to require publication of information that is confidential, exempt, or otherwise protected from disclosure under state or federal law. The Finance Director/Fiscal Officer shall ensure:</w:t>
      </w:r>
    </w:p>
    <w:p w:rsidR="00000000" w:rsidDel="00000000" w:rsidP="00000000" w:rsidRDefault="00000000" w:rsidRPr="00000000" w14:paraId="0000002E">
      <w:pPr>
        <w:spacing w:after="240" w:before="240" w:lineRule="auto"/>
        <w:rPr/>
      </w:pPr>
      <w:r w:rsidDel="00000000" w:rsidR="00000000" w:rsidRPr="00000000">
        <w:rPr>
          <w:rtl w:val="0"/>
        </w:rPr>
        <w:t xml:space="preserve">A. </w:t>
      </w:r>
      <w:r w:rsidDel="00000000" w:rsidR="00000000" w:rsidRPr="00000000">
        <w:rPr>
          <w:b w:val="1"/>
          <w:bCs w:val="1"/>
          <w:rtl w:val="0"/>
        </w:rPr>
        <w:t xml:space="preserve">Redaction or exclusion</w:t>
      </w:r>
      <w:r w:rsidDel="00000000" w:rsidR="00000000" w:rsidRPr="00000000">
        <w:rPr>
          <w:rtl w:val="0"/>
        </w:rPr>
        <w:t xml:space="preserve"> of protected personal identifiers (e.g., Social Security numbers, banking details, protected medical information, protected addresses, juvenile data, or other legally exempt items).</w:t>
        <w:br w:type="textWrapping"/>
        <w:t xml:space="preserve"> B. Compliance with Ohio public records law, Auditor of State guidance, and Ohio Checkbook publication standards.</w:t>
      </w:r>
    </w:p>
    <w:p w:rsidR="00000000" w:rsidDel="00000000" w:rsidP="00000000" w:rsidRDefault="00000000" w:rsidRPr="00000000" w14:paraId="0000002F">
      <w:pPr>
        <w:pStyle w:val="Heading4"/>
        <w:keepNext w:val="0"/>
        <w:keepLines w:val="0"/>
        <w:spacing w:after="40" w:before="240" w:lineRule="auto"/>
        <w:rPr>
          <w:b w:val="1"/>
          <w:bCs w:val="1"/>
          <w:color w:val="000000"/>
          <w:sz w:val="22"/>
          <w:szCs w:val="22"/>
        </w:rPr>
      </w:pPr>
      <w:bookmarkStart w:colFirst="0" w:colLast="0" w:name="_7eoullfsua81" w:id="6"/>
      <w:bookmarkEnd w:id="6"/>
      <w:r w:rsidDel="00000000" w:rsidR="00000000" w:rsidRPr="00000000">
        <w:rPr>
          <w:b w:val="1"/>
          <w:bCs w:val="1"/>
          <w:color w:val="000000"/>
          <w:sz w:val="22"/>
          <w:szCs w:val="22"/>
          <w:rtl w:val="0"/>
        </w:rPr>
        <w:t xml:space="preserve">SECTION 5. Ongoing Updating and Data Integrity.</w:t>
      </w:r>
    </w:p>
    <w:p w:rsidR="00000000" w:rsidDel="00000000" w:rsidP="00000000" w:rsidRDefault="00000000" w:rsidRPr="00000000" w14:paraId="00000030">
      <w:pPr>
        <w:spacing w:after="240" w:before="240" w:lineRule="auto"/>
        <w:rPr/>
      </w:pPr>
      <w:r w:rsidDel="00000000" w:rsidR="00000000" w:rsidRPr="00000000">
        <w:rPr>
          <w:rtl w:val="0"/>
        </w:rPr>
        <w:t xml:space="preserve">The Finance Director/Fiscal Officer shall ensure that published data is </w:t>
      </w:r>
      <w:r w:rsidDel="00000000" w:rsidR="00000000" w:rsidRPr="00000000">
        <w:rPr>
          <w:b w:val="1"/>
          <w:bCs w:val="1"/>
          <w:rtl w:val="0"/>
        </w:rPr>
        <w:t xml:space="preserve">updated on a routine and continuous basis</w:t>
      </w:r>
      <w:r w:rsidDel="00000000" w:rsidR="00000000" w:rsidRPr="00000000">
        <w:rPr>
          <w:rtl w:val="0"/>
        </w:rPr>
        <w:t xml:space="preserve"> consistent with UAN synchronization and Ohio Checkbook capabilities, so that the public portal remains current and reliable.</w:t>
      </w:r>
    </w:p>
    <w:p w:rsidR="00000000" w:rsidDel="00000000" w:rsidP="00000000" w:rsidRDefault="00000000" w:rsidRPr="00000000" w14:paraId="00000031">
      <w:pPr>
        <w:pStyle w:val="Heading4"/>
        <w:keepNext w:val="0"/>
        <w:keepLines w:val="0"/>
        <w:spacing w:after="40" w:before="240" w:lineRule="auto"/>
        <w:rPr>
          <w:b w:val="1"/>
          <w:bCs w:val="1"/>
          <w:color w:val="000000"/>
          <w:sz w:val="22"/>
          <w:szCs w:val="22"/>
        </w:rPr>
      </w:pPr>
      <w:bookmarkStart w:colFirst="0" w:colLast="0" w:name="_2idrnm1zrykb" w:id="7"/>
      <w:bookmarkEnd w:id="7"/>
      <w:r w:rsidDel="00000000" w:rsidR="00000000" w:rsidRPr="00000000">
        <w:rPr>
          <w:b w:val="1"/>
          <w:bCs w:val="1"/>
          <w:color w:val="000000"/>
          <w:sz w:val="22"/>
          <w:szCs w:val="22"/>
          <w:rtl w:val="0"/>
        </w:rPr>
        <w:t xml:space="preserve">SECTION 6. Public Notice.</w:t>
      </w:r>
    </w:p>
    <w:p w:rsidR="00000000" w:rsidDel="00000000" w:rsidP="00000000" w:rsidRDefault="00000000" w:rsidRPr="00000000" w14:paraId="00000032">
      <w:pPr>
        <w:spacing w:after="240" w:before="240" w:lineRule="auto"/>
        <w:rPr/>
      </w:pPr>
      <w:r w:rsidDel="00000000" w:rsidR="00000000" w:rsidRPr="00000000">
        <w:rPr>
          <w:rtl w:val="0"/>
        </w:rPr>
        <w:t xml:space="preserve">Upon activation and completion of the historical upload, the City shall provide public notice through the City website and any customary public communication channels advising residents that Ohio Checkbook access is active and where it can be found.</w:t>
      </w:r>
    </w:p>
    <w:p w:rsidR="00000000" w:rsidDel="00000000" w:rsidP="00000000" w:rsidRDefault="00000000" w:rsidRPr="00000000" w14:paraId="00000033">
      <w:pPr>
        <w:pStyle w:val="Heading4"/>
        <w:keepNext w:val="0"/>
        <w:keepLines w:val="0"/>
        <w:spacing w:after="40" w:before="240" w:lineRule="auto"/>
        <w:rPr>
          <w:b w:val="1"/>
          <w:bCs w:val="1"/>
          <w:color w:val="000000"/>
          <w:sz w:val="22"/>
          <w:szCs w:val="22"/>
        </w:rPr>
      </w:pPr>
      <w:bookmarkStart w:colFirst="0" w:colLast="0" w:name="_e2shnxswi2jx" w:id="8"/>
      <w:bookmarkEnd w:id="8"/>
      <w:r w:rsidDel="00000000" w:rsidR="00000000" w:rsidRPr="00000000">
        <w:rPr>
          <w:b w:val="1"/>
          <w:bCs w:val="1"/>
          <w:color w:val="000000"/>
          <w:sz w:val="22"/>
          <w:szCs w:val="22"/>
          <w:rtl w:val="0"/>
        </w:rPr>
        <w:t xml:space="preserve">SECTION 7. Emergency.</w:t>
      </w:r>
    </w:p>
    <w:p w:rsidR="00000000" w:rsidDel="00000000" w:rsidP="00000000" w:rsidRDefault="00000000" w:rsidRPr="00000000" w14:paraId="00000034">
      <w:pPr>
        <w:spacing w:after="240" w:before="240" w:lineRule="auto"/>
        <w:rPr/>
      </w:pPr>
      <w:r w:rsidDel="00000000" w:rsidR="00000000" w:rsidRPr="00000000">
        <w:rPr>
          <w:rtl w:val="0"/>
        </w:rPr>
        <w:t xml:space="preserve">This Resolution is declared to be an emergency measure necessary for the immediate preservation of the public peace, health, safety, and welfare, and for the prompt restoration and maintenance of public confidence in municipal fiscal transparency. It shall therefore take effect immediately upon passage.</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