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wegglwvvh49" w:id="0"/>
      <w:bookmarkEnd w:id="0"/>
      <w:r w:rsidDel="00000000" w:rsidR="00000000" w:rsidRPr="00000000">
        <w:rPr>
          <w:b w:val="1"/>
          <w:bCs w:val="1"/>
          <w:sz w:val="46"/>
          <w:szCs w:val="46"/>
          <w:rtl w:val="0"/>
        </w:rPr>
        <w:t xml:space="preserve">ORDINANCE NO. [____]-25</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AN ORDINANCE ESTABLISHING STANDING CITIZEN ADVISORY COMMITTEES, PRESCRIBING THEIR COMPOSITION, APPOINTMENT PROCESS, POWERS, PROCEDURES, AND REPORTING REQUIREMENTS, AND DECLARING AN EMERGENCY.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pkfkj1xataag" w:id="1"/>
      <w:bookmarkEnd w:id="1"/>
      <w:r w:rsidDel="00000000" w:rsidR="00000000" w:rsidRPr="00000000">
        <w:rPr>
          <w:b w:val="1"/>
          <w:bCs w:val="1"/>
          <w:color w:val="000000"/>
          <w:sz w:val="26"/>
          <w:szCs w:val="26"/>
          <w:rtl w:val="0"/>
        </w:rPr>
        <w:t xml:space="preserve">WHEREAS,</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b w:val="1"/>
          <w:bCs w:val="1"/>
          <w:rtl w:val="0"/>
        </w:rPr>
        <w:t xml:space="preserve">WHEREAS</w:t>
      </w:r>
      <w:r w:rsidDel="00000000" w:rsidR="00000000" w:rsidRPr="00000000">
        <w:rPr>
          <w:rtl w:val="0"/>
        </w:rPr>
        <w:t xml:space="preserve">, the Charter of the City vests legislative power in Council and authorizes Council to structure committees and adopt rules for orderly legislative and advisory processes; and</w:t>
        <w:br w:type="textWrapping"/>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Council Rules recognize that committees are a core tool of Council governance and may be created, amended, or supplemented by ordinance adopted by a two-thirds vote; and</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the electors have approved a Charter amendment requiring Advisory Committee review of legislation before final passage, and Council must now implement that advisory framework; and</w:t>
        <w:br w:type="textWrapping"/>
      </w:r>
    </w:p>
    <w:p w:rsidR="00000000" w:rsidDel="00000000" w:rsidP="00000000" w:rsidRDefault="00000000" w:rsidRPr="00000000" w14:paraId="00000007">
      <w:pPr>
        <w:numPr>
          <w:ilvl w:val="0"/>
          <w:numId w:val="2"/>
        </w:numPr>
        <w:spacing w:after="240" w:before="0" w:beforeAutospacing="0" w:lineRule="auto"/>
        <w:ind w:left="720" w:hanging="360"/>
      </w:pPr>
      <w:r w:rsidDel="00000000" w:rsidR="00000000" w:rsidRPr="00000000">
        <w:rPr>
          <w:b w:val="1"/>
          <w:bCs w:val="1"/>
          <w:rtl w:val="0"/>
        </w:rPr>
        <w:t xml:space="preserve">WHEREAS</w:t>
      </w:r>
      <w:r w:rsidDel="00000000" w:rsidR="00000000" w:rsidRPr="00000000">
        <w:rPr>
          <w:rtl w:val="0"/>
        </w:rPr>
        <w:t xml:space="preserve">, Council finds that standing Citizen Advisory Committees improve public engagement, transparency, and legislative quality.</w:t>
        <w:br w:type="textWrapping"/>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s944xt1sy158" w:id="2"/>
      <w:bookmarkEnd w:id="2"/>
      <w:r w:rsidDel="00000000" w:rsidR="00000000" w:rsidRPr="00000000">
        <w:rPr>
          <w:b w:val="1"/>
          <w:bCs w:val="1"/>
          <w:color w:val="000000"/>
          <w:sz w:val="26"/>
          <w:szCs w:val="26"/>
          <w:rtl w:val="0"/>
        </w:rPr>
        <w:t xml:space="preserve">NOW, THEREFORE, BE IT ORDAINED BY THE COUNCIL OF THE CITY OF SHEFFIELD LAKE, OHIO:</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owvkomkytzgn" w:id="3"/>
      <w:bookmarkEnd w:id="3"/>
      <w:r w:rsidDel="00000000" w:rsidR="00000000" w:rsidRPr="00000000">
        <w:rPr>
          <w:b w:val="1"/>
          <w:bCs w:val="1"/>
          <w:sz w:val="34"/>
          <w:szCs w:val="34"/>
          <w:rtl w:val="0"/>
        </w:rPr>
        <w:t xml:space="preserve">SECTION 1. Establishment of Standing Citizen Advisory Committees.</w:t>
      </w:r>
    </w:p>
    <w:p w:rsidR="00000000" w:rsidDel="00000000" w:rsidP="00000000" w:rsidRDefault="00000000" w:rsidRPr="00000000" w14:paraId="0000000B">
      <w:pPr>
        <w:spacing w:after="240" w:before="240" w:lineRule="auto"/>
        <w:rPr/>
      </w:pPr>
      <w:r w:rsidDel="00000000" w:rsidR="00000000" w:rsidRPr="00000000">
        <w:rPr>
          <w:rtl w:val="0"/>
        </w:rPr>
        <w:t xml:space="preserve">There are hereby created six (6) standing Citizen Advisory Committees:</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b w:val="1"/>
          <w:bCs w:val="1"/>
          <w:rtl w:val="0"/>
        </w:rPr>
        <w:t xml:space="preserve">Economic Development Advisory Committee</w:t>
        <w:br w:type="textWrapping"/>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bCs w:val="1"/>
          <w:rtl w:val="0"/>
        </w:rPr>
        <w:t xml:space="preserve">Zoning Advisory Committee</w:t>
        <w:br w:type="textWrapping"/>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bCs w:val="1"/>
          <w:rtl w:val="0"/>
        </w:rPr>
        <w:t xml:space="preserve">Bonds, Taxes, and Levies Advisory Committee</w:t>
        <w:br w:type="textWrapping"/>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bCs w:val="1"/>
          <w:rtl w:val="0"/>
        </w:rPr>
        <w:t xml:space="preserve">City Services Advisory Committee</w:t>
        <w:br w:type="textWrapping"/>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bCs w:val="1"/>
          <w:rtl w:val="0"/>
        </w:rPr>
        <w:t xml:space="preserve">City-Wide Ordinances and Codification Advisory Committee</w:t>
        <w:br w:type="textWrapping"/>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b w:val="1"/>
          <w:bCs w:val="1"/>
          <w:rtl w:val="0"/>
        </w:rPr>
        <w:t xml:space="preserve">Budget, Audit, and Whistleblower Advisory Committee</w:t>
        <w:br w:type="textWrapping"/>
      </w:r>
    </w:p>
    <w:p w:rsidR="00000000" w:rsidDel="00000000" w:rsidP="00000000" w:rsidRDefault="00000000" w:rsidRPr="00000000" w14:paraId="00000012">
      <w:pPr>
        <w:spacing w:after="240" w:before="240" w:lineRule="auto"/>
        <w:rPr/>
      </w:pPr>
      <w:r w:rsidDel="00000000" w:rsidR="00000000" w:rsidRPr="00000000">
        <w:rPr>
          <w:rtl w:val="0"/>
        </w:rPr>
        <w:t xml:space="preserve">These committees shall operate as advisory bodies to Council consistent with the Charter-mandated advisory-committee legislative process.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chg79rtemu8" w:id="4"/>
      <w:bookmarkEnd w:id="4"/>
      <w:r w:rsidDel="00000000" w:rsidR="00000000" w:rsidRPr="00000000">
        <w:rPr>
          <w:b w:val="1"/>
          <w:bCs w:val="1"/>
          <w:sz w:val="34"/>
          <w:szCs w:val="34"/>
          <w:rtl w:val="0"/>
        </w:rPr>
        <w:t xml:space="preserve">SECTION 2. Committee Membership and Seats.</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(a) Size.</w:t>
      </w:r>
      <w:r w:rsidDel="00000000" w:rsidR="00000000" w:rsidRPr="00000000">
        <w:rPr>
          <w:rtl w:val="0"/>
        </w:rPr>
        <w:t xml:space="preserve"> Each standing Citizen Advisory Committee shall consist</w:t>
      </w:r>
      <w:r w:rsidDel="00000000" w:rsidR="00000000" w:rsidRPr="00000000">
        <w:rPr>
          <w:rtl w:val="0"/>
        </w:rPr>
        <w:t xml:space="preserve"> of six (6) voting members.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(b) Appointing Authorities and Seat Allocation.</w:t>
        <w:br w:type="textWrapping"/>
      </w:r>
      <w:r w:rsidDel="00000000" w:rsidR="00000000" w:rsidRPr="00000000">
        <w:rPr>
          <w:rtl w:val="0"/>
        </w:rPr>
        <w:t xml:space="preserve"> For each committee, the six seats shall be allocated as follows:</w:t>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b w:val="1"/>
          <w:bCs w:val="1"/>
          <w:rtl w:val="0"/>
        </w:rPr>
        <w:t xml:space="preserve">Ward-Designated Council Appointees (4 seats):</w:t>
        <w:br w:type="textWrapping"/>
      </w:r>
      <w:r w:rsidDel="00000000" w:rsidR="00000000" w:rsidRPr="00000000">
        <w:rPr>
          <w:rtl w:val="0"/>
        </w:rPr>
        <w:t xml:space="preserve"> One appointee designated by each Ward Council Member (Wards 1–4).</w:t>
        <w:br w:type="textWrapping"/>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b w:val="1"/>
          <w:bCs w:val="1"/>
          <w:rtl w:val="0"/>
        </w:rPr>
        <w:t xml:space="preserve">Council President Appointee (1 seat):</w:t>
        <w:br w:type="textWrapping"/>
      </w:r>
      <w:r w:rsidDel="00000000" w:rsidR="00000000" w:rsidRPr="00000000">
        <w:rPr>
          <w:rtl w:val="0"/>
        </w:rPr>
        <w:t xml:space="preserve"> One appointee designated by the President of the Council.</w:t>
        <w:br w:type="textWrapping"/>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b w:val="1"/>
          <w:bCs w:val="1"/>
          <w:rtl w:val="0"/>
        </w:rPr>
        <w:t xml:space="preserve">Mayor Appointee (1 seat):</w:t>
        <w:br w:type="textWrapping"/>
      </w:r>
      <w:r w:rsidDel="00000000" w:rsidR="00000000" w:rsidRPr="00000000">
        <w:rPr>
          <w:rtl w:val="0"/>
        </w:rPr>
        <w:t xml:space="preserve"> One appointee designated by the Mayor.</w:t>
        <w:br w:type="textWrapping"/>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(c) Terms.</w:t>
      </w:r>
      <w:r w:rsidDel="00000000" w:rsidR="00000000" w:rsidRPr="00000000">
        <w:rPr>
          <w:rtl w:val="0"/>
        </w:rPr>
        <w:t xml:space="preserve"> Members shall serve </w:t>
      </w:r>
      <w:r w:rsidDel="00000000" w:rsidR="00000000" w:rsidRPr="00000000">
        <w:rPr>
          <w:b w:val="1"/>
          <w:bCs w:val="1"/>
          <w:rtl w:val="0"/>
        </w:rPr>
        <w:t xml:space="preserve">one-year terms</w:t>
      </w:r>
      <w:r w:rsidDel="00000000" w:rsidR="00000000" w:rsidRPr="00000000">
        <w:rPr>
          <w:rtl w:val="0"/>
        </w:rPr>
        <w:t xml:space="preserve">, beginning January 1 and ending December 31, and may be reappointed without limit unless otherwise provided by Charter or ordinance.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o3pjlihpe02q" w:id="5"/>
      <w:bookmarkEnd w:id="5"/>
      <w:r w:rsidDel="00000000" w:rsidR="00000000" w:rsidRPr="00000000">
        <w:rPr>
          <w:b w:val="1"/>
          <w:bCs w:val="1"/>
          <w:sz w:val="34"/>
          <w:szCs w:val="34"/>
          <w:rtl w:val="0"/>
        </w:rPr>
        <w:t xml:space="preserve">SECTION 3. Appointment Order; Timing.</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(a) Order of Appointment.</w:t>
      </w:r>
      <w:r w:rsidDel="00000000" w:rsidR="00000000" w:rsidRPr="00000000">
        <w:rPr>
          <w:rtl w:val="0"/>
        </w:rPr>
        <w:t xml:space="preserve"> The Ward-Designated Council Members shall make their appointments </w:t>
      </w:r>
      <w:r w:rsidDel="00000000" w:rsidR="00000000" w:rsidRPr="00000000">
        <w:rPr>
          <w:b w:val="1"/>
          <w:bCs w:val="1"/>
          <w:rtl w:val="0"/>
        </w:rPr>
        <w:t xml:space="preserve">first</w:t>
      </w:r>
      <w:r w:rsidDel="00000000" w:rsidR="00000000" w:rsidRPr="00000000">
        <w:rPr>
          <w:rtl w:val="0"/>
        </w:rPr>
        <w:t xml:space="preserve">, in </w:t>
      </w:r>
      <w:r w:rsidDel="00000000" w:rsidR="00000000" w:rsidRPr="00000000">
        <w:rPr>
          <w:b w:val="1"/>
          <w:bCs w:val="1"/>
          <w:rtl w:val="0"/>
        </w:rPr>
        <w:t xml:space="preserve">alphanumeric order by Ward (Ward 1, Ward 2, Ward 3, Ward 4)</w:t>
      </w:r>
      <w:r w:rsidDel="00000000" w:rsidR="00000000" w:rsidRPr="00000000">
        <w:rPr>
          <w:rtl w:val="0"/>
        </w:rPr>
        <w:t xml:space="preserve">.</w:t>
        <w:br w:type="textWrapping"/>
        <w:t xml:space="preserve"> After the Ward appointments are filed, the Council President shall appoint next, and the Mayor shall nominate last.</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(b) Deadline.</w:t>
      </w:r>
      <w:r w:rsidDel="00000000" w:rsidR="00000000" w:rsidRPr="00000000">
        <w:rPr>
          <w:rtl w:val="0"/>
        </w:rPr>
        <w:t xml:space="preserve"> All appointments shall be filed with the Clerk of Council </w:t>
      </w:r>
      <w:r w:rsidDel="00000000" w:rsidR="00000000" w:rsidRPr="00000000">
        <w:rPr>
          <w:b w:val="1"/>
          <w:bCs w:val="1"/>
          <w:rtl w:val="0"/>
        </w:rPr>
        <w:t xml:space="preserve">no later than the second regular Council meeting in January</w:t>
      </w:r>
      <w:r w:rsidDel="00000000" w:rsidR="00000000" w:rsidRPr="00000000">
        <w:rPr>
          <w:rtl w:val="0"/>
        </w:rPr>
        <w:t xml:space="preserve"> each year. Any appointing authority failing to appoint by that deadline forfeits that appointment for the year, and Council shall fill the vacancy by majority vote.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a4x6zuo6m53" w:id="6"/>
      <w:bookmarkEnd w:id="6"/>
      <w:r w:rsidDel="00000000" w:rsidR="00000000" w:rsidRPr="00000000">
        <w:rPr>
          <w:b w:val="1"/>
          <w:bCs w:val="1"/>
          <w:sz w:val="34"/>
          <w:szCs w:val="34"/>
          <w:rtl w:val="0"/>
        </w:rPr>
        <w:t xml:space="preserve">SECTION 4. Partisan Balance Requirements.</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(a) Limit on Partisan Designees.</w:t>
        <w:br w:type="textWrapping"/>
      </w:r>
      <w:r w:rsidDel="00000000" w:rsidR="00000000" w:rsidRPr="00000000">
        <w:rPr>
          <w:rtl w:val="0"/>
        </w:rPr>
        <w:t xml:space="preserve"> No standing Citizen Advisory Committee may include </w:t>
      </w:r>
      <w:r w:rsidDel="00000000" w:rsidR="00000000" w:rsidRPr="00000000">
        <w:rPr>
          <w:b w:val="1"/>
          <w:bCs w:val="1"/>
          <w:rtl w:val="0"/>
        </w:rPr>
        <w:t xml:space="preserve">more than four (4) members registered with a political party</w:t>
      </w:r>
      <w:r w:rsidDel="00000000" w:rsidR="00000000" w:rsidRPr="00000000">
        <w:rPr>
          <w:rtl w:val="0"/>
        </w:rPr>
        <w:t xml:space="preserve">, as determined by voter registration records maintained by the Lorain County Board of Elections.</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(b) Maximum from Same Party.</w:t>
        <w:br w:type="textWrapping"/>
      </w:r>
      <w:r w:rsidDel="00000000" w:rsidR="00000000" w:rsidRPr="00000000">
        <w:rPr>
          <w:rtl w:val="0"/>
        </w:rPr>
        <w:t xml:space="preserve"> No committee may include </w:t>
      </w:r>
      <w:r w:rsidDel="00000000" w:rsidR="00000000" w:rsidRPr="00000000">
        <w:rPr>
          <w:b w:val="1"/>
          <w:bCs w:val="1"/>
          <w:rtl w:val="0"/>
        </w:rPr>
        <w:t xml:space="preserve">more than two (2) appointees from the same political party</w:t>
      </w:r>
      <w:r w:rsidDel="00000000" w:rsidR="00000000" w:rsidRPr="00000000">
        <w:rPr>
          <w:rtl w:val="0"/>
        </w:rPr>
        <w:t xml:space="preserve"> at any time.</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(c) Enforcement.</w:t>
        <w:br w:type="textWrapping"/>
      </w:r>
      <w:r w:rsidDel="00000000" w:rsidR="00000000" w:rsidRPr="00000000">
        <w:rPr>
          <w:rtl w:val="0"/>
        </w:rPr>
        <w:t xml:space="preserve"> The Clerk of Council shall review registrations at the time of appointment. If a proposed appointment would violate subsection (a) or (b), it shall be returned to the appointing authority for replacement within seven (7) days.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weefot48fe85" w:id="7"/>
      <w:bookmarkEnd w:id="7"/>
      <w:r w:rsidDel="00000000" w:rsidR="00000000" w:rsidRPr="00000000">
        <w:rPr>
          <w:b w:val="1"/>
          <w:bCs w:val="1"/>
          <w:sz w:val="34"/>
          <w:szCs w:val="34"/>
          <w:rtl w:val="0"/>
        </w:rPr>
        <w:t xml:space="preserve">SECTION 5. Qualifications and Residency.</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(a) Default Eligibility.</w:t>
        <w:br w:type="textWrapping"/>
      </w:r>
      <w:r w:rsidDel="00000000" w:rsidR="00000000" w:rsidRPr="00000000">
        <w:rPr>
          <w:rtl w:val="0"/>
        </w:rPr>
        <w:t xml:space="preserve"> Members need not be residents of Sheffield Lake if they meet the criteria below.</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(b) Non-Resident Eligibility.</w:t>
        <w:br w:type="textWrapping"/>
      </w:r>
      <w:r w:rsidDel="00000000" w:rsidR="00000000" w:rsidRPr="00000000">
        <w:rPr>
          <w:rtl w:val="0"/>
        </w:rPr>
        <w:t xml:space="preserve"> A non-resident may serve only if the person:</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Is a </w:t>
      </w:r>
      <w:r w:rsidDel="00000000" w:rsidR="00000000" w:rsidRPr="00000000">
        <w:rPr>
          <w:b w:val="1"/>
          <w:bCs w:val="1"/>
          <w:rtl w:val="0"/>
        </w:rPr>
        <w:t xml:space="preserve">United States citizen</w:t>
      </w:r>
      <w:r w:rsidDel="00000000" w:rsidR="00000000" w:rsidRPr="00000000">
        <w:rPr>
          <w:rtl w:val="0"/>
        </w:rPr>
        <w:t xml:space="preserve">; and</w:t>
        <w:br w:type="textWrapping"/>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tl w:val="0"/>
        </w:rPr>
        <w:t xml:space="preserve">Demonstrates </w:t>
      </w:r>
      <w:r w:rsidDel="00000000" w:rsidR="00000000" w:rsidRPr="00000000">
        <w:rPr>
          <w:b w:val="1"/>
          <w:bCs w:val="1"/>
          <w:rtl w:val="0"/>
        </w:rPr>
        <w:t xml:space="preserve">experience or professional background relevant to the committee’s field</w:t>
      </w:r>
      <w:r w:rsidDel="00000000" w:rsidR="00000000" w:rsidRPr="00000000">
        <w:rPr>
          <w:rtl w:val="0"/>
        </w:rPr>
        <w:t xml:space="preserve">, to the satisfaction of Council.</w:t>
        <w:br w:type="textWrapping"/>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(c) Ethical Expectations.</w:t>
        <w:br w:type="textWrapping"/>
      </w:r>
      <w:r w:rsidDel="00000000" w:rsidR="00000000" w:rsidRPr="00000000">
        <w:rPr>
          <w:rtl w:val="0"/>
        </w:rPr>
        <w:t xml:space="preserve"> All members shall comply with applicable ethics and conflict-of-interest laws and shall disclose any financial or professional interest in matters before their committee.</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au55fggh7ci" w:id="8"/>
      <w:bookmarkEnd w:id="8"/>
      <w:r w:rsidDel="00000000" w:rsidR="00000000" w:rsidRPr="00000000">
        <w:rPr>
          <w:b w:val="1"/>
          <w:bCs w:val="1"/>
          <w:sz w:val="34"/>
          <w:szCs w:val="34"/>
          <w:rtl w:val="0"/>
        </w:rPr>
        <w:t xml:space="preserve">SECTION 6. Chairperson; Voting; Agenda.</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(a) Selection of Chair.</w:t>
        <w:br w:type="textWrapping"/>
      </w:r>
      <w:r w:rsidDel="00000000" w:rsidR="00000000" w:rsidRPr="00000000">
        <w:rPr>
          <w:rtl w:val="0"/>
        </w:rPr>
        <w:t xml:space="preserve"> Each committee shall elect its own Chairperson and any other officers it deems necessary, by majority vote at its first meeting each year.</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(b) Chair Voting.</w:t>
        <w:br w:type="textWrapping"/>
      </w:r>
      <w:r w:rsidDel="00000000" w:rsidR="00000000" w:rsidRPr="00000000">
        <w:rPr>
          <w:rtl w:val="0"/>
        </w:rPr>
        <w:t xml:space="preserve"> The Chairperson </w:t>
      </w:r>
      <w:r w:rsidDel="00000000" w:rsidR="00000000" w:rsidRPr="00000000">
        <w:rPr>
          <w:b w:val="1"/>
          <w:bCs w:val="1"/>
          <w:rtl w:val="0"/>
        </w:rPr>
        <w:t xml:space="preserve">shall not vote</w:t>
      </w:r>
      <w:r w:rsidDel="00000000" w:rsidR="00000000" w:rsidRPr="00000000">
        <w:rPr>
          <w:rtl w:val="0"/>
        </w:rPr>
        <w:t xml:space="preserve"> except to break a tie.</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(c) Agenda Control and Amendment.</w:t>
        <w:br w:type="textWrapping"/>
      </w:r>
      <w:r w:rsidDel="00000000" w:rsidR="00000000" w:rsidRPr="00000000">
        <w:rPr>
          <w:rtl w:val="0"/>
        </w:rPr>
        <w:t xml:space="preserve"> The Chairperson shall set the agenda for each meeting. </w:t>
      </w:r>
      <w:r w:rsidDel="00000000" w:rsidR="00000000" w:rsidRPr="00000000">
        <w:rPr>
          <w:b w:val="1"/>
          <w:bCs w:val="1"/>
          <w:rtl w:val="0"/>
        </w:rPr>
        <w:t xml:space="preserve">Any four (4) committee members voting in concurrence may amend the agenda</w:t>
      </w:r>
      <w:r w:rsidDel="00000000" w:rsidR="00000000" w:rsidRPr="00000000">
        <w:rPr>
          <w:rtl w:val="0"/>
        </w:rPr>
        <w:t xml:space="preserve"> at the meeting before business is taken up.</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ihoqd73l3r0u" w:id="9"/>
      <w:bookmarkEnd w:id="9"/>
      <w:r w:rsidDel="00000000" w:rsidR="00000000" w:rsidRPr="00000000">
        <w:rPr>
          <w:b w:val="1"/>
          <w:bCs w:val="1"/>
          <w:sz w:val="34"/>
          <w:szCs w:val="34"/>
          <w:rtl w:val="0"/>
        </w:rPr>
        <w:t xml:space="preserve">SECTION 7. Referral of Legislation.</w:t>
      </w:r>
    </w:p>
    <w:p w:rsidR="00000000" w:rsidDel="00000000" w:rsidP="00000000" w:rsidRDefault="00000000" w:rsidRPr="00000000" w14:paraId="00000032">
      <w:pPr>
        <w:spacing w:after="240" w:before="240" w:lineRule="auto"/>
        <w:rPr/>
      </w:pPr>
      <w:r w:rsidDel="00000000" w:rsidR="00000000" w:rsidRPr="00000000">
        <w:rPr>
          <w:rtl w:val="0"/>
        </w:rPr>
        <w:t xml:space="preserve">The President of Council shall determine which proposed ordinances or resolutions are referred to which advisory committee. The President of Council may also form </w:t>
      </w:r>
      <w:r w:rsidDel="00000000" w:rsidR="00000000" w:rsidRPr="00000000">
        <w:rPr>
          <w:b w:val="1"/>
          <w:bCs w:val="1"/>
          <w:rtl w:val="0"/>
        </w:rPr>
        <w:t xml:space="preserve">additional Citizen Advisory Committees</w:t>
      </w:r>
      <w:r w:rsidDel="00000000" w:rsidR="00000000" w:rsidRPr="00000000">
        <w:rPr>
          <w:rtl w:val="0"/>
        </w:rPr>
        <w:t xml:space="preserve"> by written designation filed with the Clerk, subject to Council ratification by majority vote at the next regular meeting.</w:t>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m2ds8j5v917" w:id="10"/>
      <w:bookmarkEnd w:id="10"/>
      <w:r w:rsidDel="00000000" w:rsidR="00000000" w:rsidRPr="00000000">
        <w:rPr>
          <w:b w:val="1"/>
          <w:bCs w:val="1"/>
          <w:sz w:val="34"/>
          <w:szCs w:val="34"/>
          <w:rtl w:val="0"/>
        </w:rPr>
        <w:t xml:space="preserve">SECTION 8. Meetings: Virtual Participation.</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(a) Scheduling.</w:t>
        <w:br w:type="textWrapping"/>
      </w:r>
      <w:r w:rsidDel="00000000" w:rsidR="00000000" w:rsidRPr="00000000">
        <w:rPr>
          <w:rtl w:val="0"/>
        </w:rPr>
        <w:t xml:space="preserve"> The Chairperson shall set the meeting schedule in accordance with the Charter timelines for advisory review.</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(b) Virtual Meetings.</w:t>
        <w:br w:type="textWrapping"/>
      </w:r>
      <w:r w:rsidDel="00000000" w:rsidR="00000000" w:rsidRPr="00000000">
        <w:rPr>
          <w:rtl w:val="0"/>
        </w:rPr>
        <w:t xml:space="preserve"> Committees may meet</w:t>
      </w:r>
      <w:r w:rsidDel="00000000" w:rsidR="00000000" w:rsidRPr="00000000">
        <w:rPr>
          <w:rtl w:val="0"/>
        </w:rPr>
        <w:t xml:space="preserve"> in person, virtually, or in hybrid form, prov</w:t>
      </w:r>
      <w:r w:rsidDel="00000000" w:rsidR="00000000" w:rsidRPr="00000000">
        <w:rPr>
          <w:rtl w:val="0"/>
        </w:rPr>
        <w:t xml:space="preserve">ided meetings are publicly noticed and accessible to the public consistent with Ohio Open Meetings requirements.</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(c) Quorum.</w:t>
        <w:br w:type="textWrapping"/>
      </w:r>
      <w:r w:rsidDel="00000000" w:rsidR="00000000" w:rsidRPr="00000000">
        <w:rPr>
          <w:rtl w:val="0"/>
        </w:rPr>
        <w:t xml:space="preserve"> A majority of committee members constitutes a quorum.</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sg42f4y83plp" w:id="11"/>
      <w:bookmarkEnd w:id="11"/>
      <w:r w:rsidDel="00000000" w:rsidR="00000000" w:rsidRPr="00000000">
        <w:rPr>
          <w:b w:val="1"/>
          <w:bCs w:val="1"/>
          <w:sz w:val="34"/>
          <w:szCs w:val="34"/>
          <w:rtl w:val="0"/>
        </w:rPr>
        <w:t xml:space="preserve">SECTION 9. Public Testimony and City Website Posting.</w:t>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(a) Forms of Testimony.</w:t>
        <w:br w:type="textWrapping"/>
      </w:r>
      <w:r w:rsidDel="00000000" w:rsidR="00000000" w:rsidRPr="00000000">
        <w:rPr>
          <w:rtl w:val="0"/>
        </w:rPr>
        <w:t xml:space="preserve"> Committees shall accept public testimony in the following forms:</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tl w:val="0"/>
        </w:rPr>
        <w:t xml:space="preserve">Written testimony;</w:t>
        <w:br w:type="textWrapping"/>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Audio testimony;</w:t>
        <w:br w:type="textWrapping"/>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Video testimony;</w:t>
        <w:br w:type="textWrapping"/>
      </w:r>
    </w:p>
    <w:p w:rsidR="00000000" w:rsidDel="00000000" w:rsidP="00000000" w:rsidRDefault="00000000" w:rsidRPr="00000000" w14:paraId="0000003F">
      <w:pPr>
        <w:numPr>
          <w:ilvl w:val="0"/>
          <w:numId w:val="3"/>
        </w:numPr>
        <w:spacing w:after="240" w:before="0" w:beforeAutospacing="0" w:lineRule="auto"/>
        <w:ind w:left="720" w:hanging="360"/>
      </w:pPr>
      <w:r w:rsidDel="00000000" w:rsidR="00000000" w:rsidRPr="00000000">
        <w:rPr>
          <w:rtl w:val="0"/>
        </w:rPr>
        <w:t xml:space="preserve">In-person testimony.</w:t>
        <w:br w:type="textWrapping"/>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(b) Posting Requirement.</w:t>
        <w:br w:type="textWrapping"/>
      </w:r>
      <w:r w:rsidDel="00000000" w:rsidR="00000000" w:rsidRPr="00000000">
        <w:rPr>
          <w:rtl w:val="0"/>
        </w:rPr>
        <w:t xml:space="preserve"> Testimony </w:t>
      </w:r>
      <w:r w:rsidDel="00000000" w:rsidR="00000000" w:rsidRPr="00000000">
        <w:rPr>
          <w:b w:val="1"/>
          <w:bCs w:val="1"/>
          <w:rtl w:val="0"/>
        </w:rPr>
        <w:t xml:space="preserve">for and against</w:t>
      </w:r>
      <w:r w:rsidDel="00000000" w:rsidR="00000000" w:rsidRPr="00000000">
        <w:rPr>
          <w:rtl w:val="0"/>
        </w:rPr>
        <w:t xml:space="preserve"> each referred measure shall be posted to the City website in a timely manner so residents can review multiple perspectives before Council consideration.</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(c) Obscenity and Lewdness Filter.</w:t>
        <w:br w:type="textWrapping"/>
      </w:r>
      <w:r w:rsidDel="00000000" w:rsidR="00000000" w:rsidRPr="00000000">
        <w:rPr>
          <w:rtl w:val="0"/>
        </w:rPr>
        <w:t xml:space="preserve"> Committees shall evaluate submitted testimony for obscene or lewd material </w:t>
      </w:r>
      <w:r w:rsidDel="00000000" w:rsidR="00000000" w:rsidRPr="00000000">
        <w:rPr>
          <w:b w:val="1"/>
          <w:bCs w:val="1"/>
          <w:rtl w:val="0"/>
        </w:rPr>
        <w:t xml:space="preserve">as defined by ordinance</w:t>
      </w:r>
      <w:r w:rsidDel="00000000" w:rsidR="00000000" w:rsidRPr="00000000">
        <w:rPr>
          <w:rtl w:val="0"/>
        </w:rPr>
        <w:t xml:space="preserve">. Testimony that violates the ordinance definition may be rejected or redacted with a written reason posted publicly.</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lb6zueyssyj2" w:id="12"/>
      <w:bookmarkEnd w:id="12"/>
      <w:r w:rsidDel="00000000" w:rsidR="00000000" w:rsidRPr="00000000">
        <w:rPr>
          <w:b w:val="1"/>
          <w:bCs w:val="1"/>
          <w:sz w:val="34"/>
          <w:szCs w:val="34"/>
          <w:rtl w:val="0"/>
        </w:rPr>
        <w:t xml:space="preserve">SECTION 10. Bylaws; Rules; Procedures.</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(a) Committee Bylaws.</w:t>
        <w:br w:type="textWrapping"/>
      </w:r>
      <w:r w:rsidDel="00000000" w:rsidR="00000000" w:rsidRPr="00000000">
        <w:rPr>
          <w:rtl w:val="0"/>
        </w:rPr>
        <w:t xml:space="preserve"> Each committee shall adopt bylaws, rules, and procedures governing its internal operations, including sign-up regulations, time limits for testimony, decorum, and recordkeeping.</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(b) Filing and Approval.</w:t>
        <w:br w:type="textWrapping"/>
      </w:r>
      <w:r w:rsidDel="00000000" w:rsidR="00000000" w:rsidRPr="00000000">
        <w:rPr>
          <w:rtl w:val="0"/>
        </w:rPr>
        <w:t xml:space="preserve"> </w:t>
      </w:r>
      <w:r w:rsidDel="00000000" w:rsidR="00000000" w:rsidRPr="00000000">
        <w:rPr>
          <w:rtl w:val="0"/>
        </w:rPr>
        <w:t xml:space="preserve">Each committee’s bylaws shall be filed with the City Clerk within sixty (60) days of the committee’s first meeting each year. They shall become effective only upon approval by the Council by majority vote.</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vzv0xyx1328v" w:id="13"/>
      <w:bookmarkEnd w:id="13"/>
      <w:r w:rsidDel="00000000" w:rsidR="00000000" w:rsidRPr="00000000">
        <w:rPr>
          <w:b w:val="1"/>
          <w:bCs w:val="1"/>
          <w:sz w:val="34"/>
          <w:szCs w:val="34"/>
          <w:rtl w:val="0"/>
        </w:rPr>
        <w:t xml:space="preserve">SECTION 11. Reports to Council.</w:t>
      </w:r>
    </w:p>
    <w:p w:rsidR="00000000" w:rsidDel="00000000" w:rsidP="00000000" w:rsidRDefault="00000000" w:rsidRPr="00000000" w14:paraId="00000048">
      <w:pPr>
        <w:spacing w:after="240" w:before="240" w:lineRule="auto"/>
        <w:rPr/>
      </w:pPr>
      <w:r w:rsidDel="00000000" w:rsidR="00000000" w:rsidRPr="00000000">
        <w:rPr>
          <w:rtl w:val="0"/>
        </w:rPr>
        <w:t xml:space="preserve">Each committee shall issue written recommendations on referred legislation at the conclusion of its review, in the form and timeline required by the Charter advisory-committee process.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xsn854w4k0lz" w:id="14"/>
      <w:bookmarkEnd w:id="14"/>
      <w:r w:rsidDel="00000000" w:rsidR="00000000" w:rsidRPr="00000000">
        <w:rPr>
          <w:b w:val="1"/>
          <w:bCs w:val="1"/>
          <w:sz w:val="34"/>
          <w:szCs w:val="34"/>
          <w:rtl w:val="0"/>
        </w:rPr>
        <w:t xml:space="preserve">SECTION 12. Severability.</w:t>
      </w:r>
    </w:p>
    <w:p w:rsidR="00000000" w:rsidDel="00000000" w:rsidP="00000000" w:rsidRDefault="00000000" w:rsidRPr="00000000" w14:paraId="0000004B">
      <w:pPr>
        <w:spacing w:after="240" w:before="240" w:lineRule="auto"/>
        <w:rPr/>
      </w:pPr>
      <w:r w:rsidDel="00000000" w:rsidR="00000000" w:rsidRPr="00000000">
        <w:rPr>
          <w:rtl w:val="0"/>
        </w:rPr>
        <w:t xml:space="preserve">If any section, sentence, clause, or portion of this Ordinance is declared invalid, such invalidity shall not affect the remaining portions, which shall remain in full force and effect.</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jhw68rghulte" w:id="15"/>
      <w:bookmarkEnd w:id="15"/>
      <w:r w:rsidDel="00000000" w:rsidR="00000000" w:rsidRPr="00000000">
        <w:rPr>
          <w:b w:val="1"/>
          <w:bCs w:val="1"/>
          <w:sz w:val="34"/>
          <w:szCs w:val="34"/>
          <w:rtl w:val="0"/>
        </w:rPr>
        <w:t xml:space="preserve">SECTION 13. Emergency.</w:t>
      </w:r>
    </w:p>
    <w:p w:rsidR="00000000" w:rsidDel="00000000" w:rsidP="00000000" w:rsidRDefault="00000000" w:rsidRPr="00000000" w14:paraId="0000004E">
      <w:pPr>
        <w:spacing w:after="240" w:before="240" w:lineRule="auto"/>
        <w:rPr/>
      </w:pPr>
      <w:r w:rsidDel="00000000" w:rsidR="00000000" w:rsidRPr="00000000">
        <w:rPr>
          <w:rtl w:val="0"/>
        </w:rPr>
        <w:t xml:space="preserve">This Ordinance is declared an emergency measure necessary for the immediate preservation of the public peace, health, safety, and welfare, and to implement the Charter-mandated advisory process without delay. It shall take effect immediately upon passage by a two-thirds (2/3) roll-call vote.</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