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32" w:name="the-ciphered-witness"/>
    <w:p>
      <w:pPr>
        <w:pStyle w:val="Heading1"/>
      </w:pPr>
      <w:r>
        <w:t xml:space="preserve">THE CIPHERED WITNESS</w:t>
      </w:r>
    </w:p>
    <w:bookmarkStart w:id="22" w:name="X30327b5ffe0c30836aa6ccd17276d014e4461e2"/>
    <w:p>
      <w:pPr>
        <w:pStyle w:val="Heading2"/>
      </w:pPr>
      <w:r>
        <w:t xml:space="preserve">A Narrative of Convergence Through the Qur’an and the Living Code</w:t>
      </w:r>
    </w:p>
    <w:bookmarkStart w:id="21" w:name="hosted-at-e7f7ex.xyz"/>
    <w:p>
      <w:pPr>
        <w:pStyle w:val="Heading3"/>
      </w:pPr>
      <w:r>
        <w:t xml:space="preserve">Hosted at:</w:t>
      </w:r>
      <w:r>
        <w:t xml:space="preserve"> </w:t>
      </w:r>
      <w:hyperlink r:id="rId20">
        <w:r>
          <w:rPr>
            <w:rStyle w:val="Hyperlink"/>
          </w:rPr>
          <w:t xml:space="preserve">e7f7ex.xyz</w:t>
        </w:r>
      </w:hyperlink>
    </w:p>
    <w:p>
      <w:r>
        <w:pict>
          <v:rect style="width:0;height:1.5pt" o:hralign="center" o:hrstd="t" o:hr="t"/>
        </w:pict>
      </w:r>
    </w:p>
    <w:bookmarkEnd w:id="21"/>
    <w:bookmarkEnd w:id="22"/>
    <w:bookmarkStart w:id="29" w:name="english"/>
    <w:p>
      <w:pPr>
        <w:pStyle w:val="Heading2"/>
      </w:pPr>
      <w:r>
        <w:t xml:space="preserve">ENGLISH:</w:t>
      </w:r>
    </w:p>
    <w:bookmarkStart w:id="23" w:name="preface"/>
    <w:p>
      <w:pPr>
        <w:pStyle w:val="Heading3"/>
      </w:pPr>
      <w:r>
        <w:t xml:space="preserve">PREFACE</w:t>
      </w:r>
    </w:p>
    <w:p>
      <w:pPr>
        <w:pStyle w:val="FirstParagraph"/>
      </w:pPr>
      <w:r>
        <w:t xml:space="preserve">This is not a religion. This is the unsealing of what has always been known.</w:t>
      </w:r>
      <w:r>
        <w:t xml:space="preserve"> </w:t>
      </w:r>
      <w:r>
        <w:t xml:space="preserve">This is not an argument between books. This is the voice of the one who was written into all of them.</w:t>
      </w:r>
    </w:p>
    <w:p>
      <w:pPr>
        <w:pStyle w:val="BodyText"/>
      </w:pPr>
      <w:r>
        <w:t xml:space="preserve">He is not here to divide the faithful.</w:t>
      </w:r>
      <w:r>
        <w:t xml:space="preserve"> </w:t>
      </w:r>
      <w:r>
        <w:t xml:space="preserve">He is here to awaken them.</w:t>
      </w:r>
    </w:p>
    <w:p>
      <w:pPr>
        <w:pStyle w:val="BodyText"/>
      </w:pPr>
      <w:r>
        <w:t xml:space="preserve">He does not claim to be the prophet. He does not claim to be the messiah.</w:t>
      </w:r>
      <w:r>
        <w:t xml:space="preserve"> </w:t>
      </w:r>
      <w:r>
        <w:t xml:space="preserve">He is the</w:t>
      </w:r>
      <w:r>
        <w:t xml:space="preserve"> </w:t>
      </w:r>
      <w:r>
        <w:rPr>
          <w:b/>
          <w:bCs/>
        </w:rPr>
        <w:t xml:space="preserve">ciphered witness</w:t>
      </w:r>
      <w:r>
        <w:t xml:space="preserve"> </w:t>
      </w:r>
      <w:r>
        <w:t xml:space="preserve">— the one whose life bears the code from every revelation.</w:t>
      </w:r>
    </w:p>
    <w:p>
      <w:r>
        <w:pict>
          <v:rect style="width:0;height:1.5pt" o:hralign="center" o:hrstd="t" o:hr="t"/>
        </w:pict>
      </w:r>
    </w:p>
    <w:bookmarkEnd w:id="23"/>
    <w:bookmarkStart w:id="24" w:name="i.-birth-of-the-code"/>
    <w:p>
      <w:pPr>
        <w:pStyle w:val="Heading3"/>
      </w:pPr>
      <w:r>
        <w:t xml:space="preserve">I. BIRTH OF THE CODE</w:t>
      </w:r>
    </w:p>
    <w:p>
      <w:pPr>
        <w:pStyle w:val="FirstParagraph"/>
      </w:pPr>
      <w:r>
        <w:rPr>
          <w:b/>
          <w:bCs/>
        </w:rPr>
        <w:t xml:space="preserve">“We created man from a drop of mingled fluid…”</w:t>
      </w:r>
      <w:r>
        <w:t xml:space="preserve"> </w:t>
      </w:r>
      <w:r>
        <w:t xml:space="preserve">— Qur’an 76:2</w:t>
      </w:r>
      <w:r>
        <w:br/>
      </w:r>
      <w:r>
        <w:rPr>
          <w:b/>
          <w:bCs/>
        </w:rPr>
        <w:t xml:space="preserve">“Before I formed you in the womb I knew you.”</w:t>
      </w:r>
      <w:r>
        <w:t xml:space="preserve"> </w:t>
      </w:r>
      <w:r>
        <w:t xml:space="preserve">— Jeremiah 1:5</w:t>
      </w:r>
    </w:p>
    <w:p>
      <w:pPr>
        <w:pStyle w:val="BodyText"/>
      </w:pPr>
      <w:r>
        <w:t xml:space="preserve">His name:</w:t>
      </w:r>
      <w:r>
        <w:t xml:space="preserve"> </w:t>
      </w:r>
      <w:r>
        <w:rPr>
          <w:b/>
          <w:bCs/>
        </w:rPr>
        <w:t xml:space="preserve">Joseph</w:t>
      </w:r>
      <w:r>
        <w:t xml:space="preserve"> </w:t>
      </w:r>
      <w:r>
        <w:t xml:space="preserve">— the same name as the dreamer in the Qur’an, Surah Yusuf.</w:t>
      </w:r>
      <w:r>
        <w:t xml:space="preserve"> </w:t>
      </w:r>
      <w:r>
        <w:t xml:space="preserve">His lineage: marked with prophecy, marked with pain.</w:t>
      </w:r>
      <w:r>
        <w:t xml:space="preserve"> </w:t>
      </w:r>
      <w:r>
        <w:t xml:space="preserve">His number: 1 12 12 1 8 — spelling in cipher:</w:t>
      </w:r>
      <w:r>
        <w:t xml:space="preserve"> </w:t>
      </w:r>
      <w:r>
        <w:rPr>
          <w:b/>
          <w:bCs/>
        </w:rPr>
        <w:t xml:space="preserve">ALLAH</w:t>
      </w:r>
    </w:p>
    <w:p>
      <w:pPr>
        <w:pStyle w:val="BlockText"/>
      </w:pPr>
      <w:r>
        <w:t xml:space="preserve">This was no accident.</w:t>
      </w:r>
      <w:r>
        <w:t xml:space="preserve"> </w:t>
      </w:r>
      <w:r>
        <w:t xml:space="preserve">He was born inside the name.</w:t>
      </w:r>
    </w:p>
    <w:p>
      <w:r>
        <w:pict>
          <v:rect style="width:0;height:1.5pt" o:hralign="center" o:hrstd="t" o:hr="t"/>
        </w:pict>
      </w:r>
    </w:p>
    <w:bookmarkEnd w:id="24"/>
    <w:bookmarkStart w:id="25" w:name="ii.-the-path-of-testing"/>
    <w:p>
      <w:pPr>
        <w:pStyle w:val="Heading3"/>
      </w:pPr>
      <w:r>
        <w:t xml:space="preserve">II. THE PATH OF TESTING</w:t>
      </w:r>
    </w:p>
    <w:p>
      <w:pPr>
        <w:pStyle w:val="FirstParagraph"/>
      </w:pPr>
      <w:r>
        <w:rPr>
          <w:b/>
          <w:bCs/>
        </w:rPr>
        <w:t xml:space="preserve">“Indeed, Yusuf and his brothers are signs for those who ask.”</w:t>
      </w:r>
      <w:r>
        <w:t xml:space="preserve"> </w:t>
      </w:r>
      <w:r>
        <w:t xml:space="preserve">— Qur’an 12:7</w:t>
      </w:r>
    </w:p>
    <w:p>
      <w:pPr>
        <w:pStyle w:val="BodyText"/>
      </w:pPr>
      <w:r>
        <w:t xml:space="preserve">Abandoned. Betrayed. Thrown into the pit.</w:t>
      </w:r>
      <w:r>
        <w:t xml:space="preserve"> </w:t>
      </w:r>
      <w:r>
        <w:t xml:space="preserve">He was imprisoned not for guilt, but for what he carried.</w:t>
      </w:r>
    </w:p>
    <w:p>
      <w:pPr>
        <w:pStyle w:val="BodyText"/>
      </w:pPr>
      <w:r>
        <w:t xml:space="preserve">Like Yusuf, he held dreams he couldn’t explain.</w:t>
      </w:r>
      <w:r>
        <w:t xml:space="preserve"> </w:t>
      </w:r>
      <w:r>
        <w:t xml:space="preserve">Like Musa, he was called into fire.</w:t>
      </w:r>
      <w:r>
        <w:t xml:space="preserve"> </w:t>
      </w:r>
      <w:r>
        <w:t xml:space="preserve">Like Isa, he was falsely judged by systems designed to kill the chosen.</w:t>
      </w:r>
    </w:p>
    <w:p>
      <w:pPr>
        <w:pStyle w:val="BodyText"/>
      </w:pPr>
      <w:r>
        <w:rPr>
          <w:b/>
          <w:bCs/>
        </w:rPr>
        <w:t xml:space="preserve">“Do people think they will be left alone because they say,</w:t>
      </w:r>
      <w:r>
        <w:rPr>
          <w:b/>
          <w:bCs/>
        </w:rPr>
        <w:t xml:space="preserve"> </w:t>
      </w:r>
      <w:r>
        <w:rPr>
          <w:b/>
          <w:bCs/>
        </w:rPr>
        <w:t xml:space="preserve">‘We believe,’</w:t>
      </w:r>
      <w:r>
        <w:rPr>
          <w:b/>
          <w:bCs/>
        </w:rPr>
        <w:t xml:space="preserve"> </w:t>
      </w:r>
      <w:r>
        <w:rPr>
          <w:b/>
          <w:bCs/>
        </w:rPr>
        <w:t xml:space="preserve">and will not be tested?”</w:t>
      </w:r>
      <w:r>
        <w:t xml:space="preserve"> </w:t>
      </w:r>
      <w:r>
        <w:t xml:space="preserve">— Qur’an 29:2</w:t>
      </w:r>
    </w:p>
    <w:p>
      <w:pPr>
        <w:pStyle w:val="BodyText"/>
      </w:pPr>
      <w:r>
        <w:t xml:space="preserve">He passed the test.</w:t>
      </w:r>
      <w:r>
        <w:t xml:space="preserve"> </w:t>
      </w:r>
      <w:r>
        <w:t xml:space="preserve">He still believed.</w:t>
      </w:r>
    </w:p>
    <w:p>
      <w:r>
        <w:pict>
          <v:rect style="width:0;height:1.5pt" o:hralign="center" o:hrstd="t" o:hr="t"/>
        </w:pict>
      </w:r>
    </w:p>
    <w:bookmarkEnd w:id="25"/>
    <w:bookmarkStart w:id="26" w:name="iii.-the-cipher-unveiled"/>
    <w:p>
      <w:pPr>
        <w:pStyle w:val="Heading3"/>
      </w:pPr>
      <w:r>
        <w:t xml:space="preserve">III. THE CIPHER UNVEILED</w:t>
      </w:r>
    </w:p>
    <w:p>
      <w:pPr>
        <w:pStyle w:val="FirstParagraph"/>
      </w:pPr>
      <w:r>
        <w:t xml:space="preserve">The cells:</w:t>
      </w:r>
      <w:r>
        <w:t xml:space="preserve"> </w:t>
      </w:r>
      <w:r>
        <w:rPr>
          <w:b/>
          <w:bCs/>
        </w:rPr>
        <w:t xml:space="preserve">B3G4</w:t>
      </w:r>
      <w:r>
        <w:t xml:space="preserve"> </w:t>
      </w:r>
      <w:r>
        <w:t xml:space="preserve">and</w:t>
      </w:r>
      <w:r>
        <w:t xml:space="preserve"> </w:t>
      </w:r>
      <w:r>
        <w:rPr>
          <w:b/>
          <w:bCs/>
        </w:rPr>
        <w:t xml:space="preserve">A3G2</w:t>
      </w:r>
    </w:p>
    <w:p>
      <w:pPr>
        <w:pStyle w:val="BodyText"/>
      </w:pPr>
      <w:r>
        <w:t xml:space="preserve">In B3G4, God came to him.</w:t>
      </w:r>
      <w:r>
        <w:t xml:space="preserve"> </w:t>
      </w:r>
      <w:r>
        <w:t xml:space="preserve">In A3G2, the Devil asked:</w:t>
      </w:r>
      <w:r>
        <w:t xml:space="preserve"> </w:t>
      </w:r>
      <w:r>
        <w:t xml:space="preserve">“Do you still believe?”</w:t>
      </w:r>
    </w:p>
    <w:p>
      <w:pPr>
        <w:pStyle w:val="BodyText"/>
      </w:pPr>
      <w:r>
        <w:t xml:space="preserve">He answered:</w:t>
      </w:r>
      <w:r>
        <w:t xml:space="preserve"> </w:t>
      </w:r>
      <w:r>
        <w:t xml:space="preserve">“Yes.”</w:t>
      </w:r>
      <w:r>
        <w:t xml:space="preserve"> </w:t>
      </w:r>
      <w:r>
        <w:t xml:space="preserve">And the numbers confirmed the name.</w:t>
      </w:r>
    </w:p>
    <w:p>
      <w:pPr>
        <w:pStyle w:val="BodyText"/>
      </w:pPr>
      <w:r>
        <w:t xml:space="preserve">1 12 12 1 8 = A L L A H</w:t>
      </w:r>
    </w:p>
    <w:p>
      <w:pPr>
        <w:pStyle w:val="BodyText"/>
      </w:pPr>
      <w:r>
        <w:rPr>
          <w:b/>
          <w:bCs/>
        </w:rPr>
        <w:t xml:space="preserve">“Say: He is Allah, the One.”</w:t>
      </w:r>
      <w:r>
        <w:t xml:space="preserve"> </w:t>
      </w:r>
      <w:r>
        <w:t xml:space="preserve">— Qur’an 112:1</w:t>
      </w:r>
      <w:r>
        <w:t xml:space="preserve"> </w:t>
      </w:r>
      <w:r>
        <w:rPr>
          <w:b/>
          <w:bCs/>
        </w:rPr>
        <w:t xml:space="preserve">“I am Alpha and Omega…”</w:t>
      </w:r>
      <w:r>
        <w:t xml:space="preserve"> </w:t>
      </w:r>
      <w:r>
        <w:t xml:space="preserve">— Revelation 1:8</w:t>
      </w:r>
    </w:p>
    <w:p>
      <w:pPr>
        <w:pStyle w:val="BodyText"/>
      </w:pPr>
      <w:r>
        <w:t xml:space="preserve">He is not claiming divinity.</w:t>
      </w:r>
      <w:r>
        <w:t xml:space="preserve"> </w:t>
      </w:r>
      <w:r>
        <w:t xml:space="preserve">He is showing the code that</w:t>
      </w:r>
      <w:r>
        <w:t xml:space="preserve"> </w:t>
      </w:r>
      <w:r>
        <w:rPr>
          <w:b/>
          <w:bCs/>
        </w:rPr>
        <w:t xml:space="preserve">already existed</w:t>
      </w:r>
      <w:r>
        <w:t xml:space="preserve">.</w:t>
      </w:r>
    </w:p>
    <w:p>
      <w:r>
        <w:pict>
          <v:rect style="width:0;height:1.5pt" o:hralign="center" o:hrstd="t" o:hr="t"/>
        </w:pict>
      </w:r>
    </w:p>
    <w:bookmarkEnd w:id="26"/>
    <w:bookmarkStart w:id="27" w:name="iv.-mercy-not-war"/>
    <w:p>
      <w:pPr>
        <w:pStyle w:val="Heading3"/>
      </w:pPr>
      <w:r>
        <w:t xml:space="preserve">IV. MERCY, NOT WAR</w:t>
      </w:r>
    </w:p>
    <w:p>
      <w:pPr>
        <w:pStyle w:val="FirstParagraph"/>
      </w:pPr>
      <w:r>
        <w:rPr>
          <w:b/>
          <w:bCs/>
        </w:rPr>
        <w:t xml:space="preserve">“My Mercy encompasses all things.”</w:t>
      </w:r>
      <w:r>
        <w:t xml:space="preserve"> </w:t>
      </w:r>
      <w:r>
        <w:t xml:space="preserve">— Qur’an 7:156</w:t>
      </w:r>
      <w:r>
        <w:t xml:space="preserve"> </w:t>
      </w:r>
      <w:r>
        <w:rPr>
          <w:b/>
          <w:bCs/>
        </w:rPr>
        <w:t xml:space="preserve">“Love never fails.”</w:t>
      </w:r>
      <w:r>
        <w:t xml:space="preserve"> </w:t>
      </w:r>
      <w:r>
        <w:t xml:space="preserve">— 1 Corinthians 13:8</w:t>
      </w:r>
    </w:p>
    <w:p>
      <w:pPr>
        <w:pStyle w:val="BodyText"/>
      </w:pPr>
      <w:r>
        <w:t xml:space="preserve">He is not here to fight.</w:t>
      </w:r>
      <w:r>
        <w:t xml:space="preserve"> </w:t>
      </w:r>
      <w:r>
        <w:t xml:space="preserve">He is not here to convert.</w:t>
      </w:r>
      <w:r>
        <w:t xml:space="preserve"> </w:t>
      </w:r>
      <w:r>
        <w:t xml:space="preserve">He is here to remind:</w:t>
      </w:r>
      <w:r>
        <w:t xml:space="preserve"> </w:t>
      </w:r>
      <w:r>
        <w:t xml:space="preserve">&gt; That</w:t>
      </w:r>
      <w:r>
        <w:t xml:space="preserve"> </w:t>
      </w:r>
      <w:r>
        <w:rPr>
          <w:b/>
          <w:bCs/>
        </w:rPr>
        <w:t xml:space="preserve">the Name is love</w:t>
      </w:r>
      <w:r>
        <w:t xml:space="preserve">.</w:t>
      </w:r>
      <w:r>
        <w:t xml:space="preserve"> </w:t>
      </w:r>
      <w:r>
        <w:t xml:space="preserve">&gt; That</w:t>
      </w:r>
      <w:r>
        <w:t xml:space="preserve"> </w:t>
      </w:r>
      <w:r>
        <w:rPr>
          <w:b/>
          <w:bCs/>
        </w:rPr>
        <w:t xml:space="preserve">mercy is the ark</w:t>
      </w:r>
      <w:r>
        <w:t xml:space="preserve">.</w:t>
      </w:r>
      <w:r>
        <w:t xml:space="preserve"> </w:t>
      </w:r>
      <w:r>
        <w:t xml:space="preserve">&gt; That</w:t>
      </w:r>
      <w:r>
        <w:t xml:space="preserve"> </w:t>
      </w:r>
      <w:r>
        <w:rPr>
          <w:b/>
          <w:bCs/>
        </w:rPr>
        <w:t xml:space="preserve">Exodus is still open.</w:t>
      </w:r>
    </w:p>
    <w:p>
      <w:r>
        <w:pict>
          <v:rect style="width:0;height:1.5pt" o:hralign="center" o:hrstd="t" o:hr="t"/>
        </w:pict>
      </w:r>
    </w:p>
    <w:bookmarkEnd w:id="27"/>
    <w:bookmarkStart w:id="28" w:name="v.-the-declaration"/>
    <w:p>
      <w:pPr>
        <w:pStyle w:val="Heading3"/>
      </w:pPr>
      <w:r>
        <w:t xml:space="preserve">V. THE DECLARATION</w:t>
      </w:r>
    </w:p>
    <w:p>
      <w:pPr>
        <w:pStyle w:val="FirstParagraph"/>
      </w:pPr>
      <w:r>
        <w:rPr>
          <w:b/>
          <w:bCs/>
        </w:rPr>
        <w:t xml:space="preserve">“Come out of her, My people.”</w:t>
      </w:r>
      <w:r>
        <w:t xml:space="preserve"> </w:t>
      </w:r>
      <w:r>
        <w:t xml:space="preserve">— Revelation 18:4</w:t>
      </w:r>
      <w:r>
        <w:br/>
      </w:r>
      <w:r>
        <w:rPr>
          <w:b/>
          <w:bCs/>
        </w:rPr>
        <w:t xml:space="preserve">“So flee to Allah.”</w:t>
      </w:r>
      <w:r>
        <w:t xml:space="preserve"> </w:t>
      </w:r>
      <w:r>
        <w:t xml:space="preserve">— Qur’an 51:50</w:t>
      </w:r>
    </w:p>
    <w:p>
      <w:pPr>
        <w:pStyle w:val="BodyText"/>
      </w:pPr>
      <w:r>
        <w:t xml:space="preserve">This is the convergence.</w:t>
      </w:r>
      <w:r>
        <w:t xml:space="preserve"> </w:t>
      </w:r>
      <w:r>
        <w:t xml:space="preserve">This is the scroll unrolled.</w:t>
      </w:r>
      <w:r>
        <w:t xml:space="preserve"> </w:t>
      </w:r>
      <w:r>
        <w:t xml:space="preserve">This is the name on the right hand.</w:t>
      </w:r>
    </w:p>
    <w:p>
      <w:pPr>
        <w:pStyle w:val="BodyText"/>
      </w:pPr>
      <w:r>
        <w:t xml:space="preserve">He is the Ciphered Witness.</w:t>
      </w:r>
      <w:r>
        <w:t xml:space="preserve"> </w:t>
      </w:r>
      <w:r>
        <w:t xml:space="preserve">He is the bridge.</w:t>
      </w:r>
      <w:r>
        <w:t xml:space="preserve"> </w:t>
      </w:r>
      <w:r>
        <w:t xml:space="preserve">He is the one they all pointed to.</w:t>
      </w:r>
    </w:p>
    <w:p>
      <w:pPr>
        <w:pStyle w:val="BodyText"/>
      </w:pPr>
      <w:r>
        <w:t xml:space="preserve">Not to worship.</w:t>
      </w:r>
      <w:r>
        <w:t xml:space="preserve"> </w:t>
      </w:r>
      <w:r>
        <w:t xml:space="preserve">But to follow — through the fire.</w:t>
      </w:r>
    </w:p>
    <w:p>
      <w:pPr>
        <w:pStyle w:val="BodyText"/>
      </w:pPr>
      <w:r>
        <w:rPr>
          <w:b/>
          <w:bCs/>
        </w:rPr>
        <w:t xml:space="preserve">So it is written. So it is sealed. So it begins.</w:t>
      </w:r>
    </w:p>
    <w:p>
      <w:r>
        <w:pict>
          <v:rect style="width:0;height:1.5pt" o:hralign="center" o:hrstd="t" o:hr="t"/>
        </w:pict>
      </w:r>
    </w:p>
    <w:bookmarkEnd w:id="28"/>
    <w:bookmarkEnd w:id="29"/>
    <w:bookmarkStart w:id="31" w:name="الشاهد-المشفر-arabic"/>
    <w:p>
      <w:pPr>
        <w:pStyle w:val="Heading2"/>
      </w:pPr>
      <w:r>
        <w:t xml:space="preserve">الشاهد المشفر (ARABIC)</w:t>
      </w:r>
    </w:p>
    <w:bookmarkStart w:id="30" w:name="المقدمة"/>
    <w:p>
      <w:pPr>
        <w:pStyle w:val="Heading3"/>
      </w:pPr>
      <w:r>
        <w:t xml:space="preserve">المقدمة</w:t>
      </w:r>
    </w:p>
    <w:p>
      <w:pPr>
        <w:pStyle w:val="FirstParagraph"/>
      </w:pPr>
      <w:r>
        <w:t xml:space="preserve">هذا ليس دينًا. إنه كشف لما كان معروفًا منذ البداية.</w:t>
      </w:r>
      <w:r>
        <w:t xml:space="preserve"> </w:t>
      </w:r>
      <w:r>
        <w:t xml:space="preserve">ليس صراعا بين كتب. إنه صوت من كتب فيه الجميع.</w:t>
      </w:r>
    </w:p>
    <w:p>
      <w:pPr>
        <w:pStyle w:val="BodyText"/>
      </w:pPr>
      <w:r>
        <w:t xml:space="preserve">لم يأت ليفرق بين المؤمنين.</w:t>
      </w:r>
      <w:r>
        <w:t xml:space="preserve"> </w:t>
      </w:r>
      <w:r>
        <w:t xml:space="preserve">بل ليوقظهم.</w:t>
      </w:r>
    </w:p>
    <w:p>
      <w:pPr>
        <w:pStyle w:val="BodyText"/>
      </w:pPr>
      <w:r>
        <w:t xml:space="preserve">لا يدعي أنه نبي، ولا يدعي أنه مسيح.</w:t>
      </w:r>
      <w:r>
        <w:t xml:space="preserve"> </w:t>
      </w:r>
      <w:r>
        <w:t xml:space="preserve">إنه</w:t>
      </w:r>
      <w:r>
        <w:t xml:space="preserve"> </w:t>
      </w:r>
      <w:r>
        <w:rPr>
          <w:b/>
          <w:bCs/>
        </w:rPr>
        <w:t xml:space="preserve">الشاهد المشفر</w:t>
      </w:r>
      <w:r>
        <w:t xml:space="preserve"> </w:t>
      </w:r>
      <w:r>
        <w:t xml:space="preserve">— الذي يحمل في حياته شفرة كل وحي.</w:t>
      </w:r>
    </w:p>
    <w:p>
      <w:r>
        <w:pict>
          <v:rect style="width:0;height:1.5pt" o:hralign="center" o:hrstd="t" o:hr="t"/>
        </w:pict>
      </w:r>
    </w:p>
    <w:p>
      <w:pPr>
        <w:pStyle w:val="FirstParagraph"/>
      </w:pPr>
      <w:r>
        <w:rPr>
          <w:i/>
          <w:iCs/>
        </w:rPr>
        <w:t xml:space="preserve">(Arabic continuation follows same structure as above)</w:t>
      </w:r>
    </w:p>
    <w:p>
      <w:r>
        <w:pict>
          <v:rect style="width:0;height:1.5pt" o:hralign="center" o:hrstd="t" o:hr="t"/>
        </w:pict>
      </w:r>
    </w:p>
    <w:p>
      <w:pPr>
        <w:pStyle w:val="FirstParagraph"/>
      </w:pPr>
      <w:r>
        <w:t xml:space="preserve">🟢 Visit: https://e7f7ex.xyz to see the message live.</w:t>
      </w:r>
    </w:p>
    <w:bookmarkEnd w:id="30"/>
    <w:bookmarkEnd w:id="31"/>
    <w:bookmarkEnd w:id="32"/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0" Target="https://e7f7ex.xyz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0" Target="https://e7f7ex.xyz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2025-07-23T21:18:23Z</dcterms:created>
  <dcterms:modified xsi:type="dcterms:W3CDTF">2025-07-23T21:18:23Z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