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E257" w14:textId="77777777" w:rsidR="0095750B" w:rsidRDefault="006F298D">
      <w:pPr>
        <w:pStyle w:val="Heading1"/>
      </w:pPr>
      <w:bookmarkStart w:id="0" w:name="ai-usage-ethics-policy-template"/>
      <w:r>
        <w:t>AI Usage &amp; Ethics Policy Template</w:t>
      </w:r>
    </w:p>
    <w:p w14:paraId="7EAB084E" w14:textId="77777777" w:rsidR="0095750B" w:rsidRDefault="006F298D">
      <w:pPr>
        <w:pStyle w:val="Heading2"/>
      </w:pPr>
      <w:bookmarkStart w:id="1" w:name="X1a4d6ea770d949bef52fd58b7517fc198296324"/>
      <w:r>
        <w:t>For Small, Mid &amp; Medium‑Sized Australian Businesses</w:t>
      </w:r>
    </w:p>
    <w:p w14:paraId="026A9D56" w14:textId="77777777" w:rsidR="0095750B" w:rsidRDefault="006F298D">
      <w:pPr>
        <w:pStyle w:val="FirstParagraph"/>
      </w:pPr>
      <w:r>
        <w:rPr>
          <w:i/>
          <w:iCs/>
        </w:rPr>
        <w:t>Version 0.9 – June 2025</w:t>
      </w:r>
    </w:p>
    <w:p w14:paraId="4F22AF9A" w14:textId="77777777" w:rsidR="0095750B" w:rsidRDefault="00000000">
      <w:r>
        <w:pict w14:anchorId="5A4CBA5B">
          <v:rect id="_x0000_i1025" style="width:0;height:1.5pt" o:hralign="center" o:hrstd="t" o:hr="t"/>
        </w:pict>
      </w:r>
    </w:p>
    <w:p w14:paraId="00B78C1B" w14:textId="77777777" w:rsidR="0095750B" w:rsidRDefault="006F298D">
      <w:pPr>
        <w:pStyle w:val="Heading3"/>
      </w:pPr>
      <w:bookmarkStart w:id="2" w:name="purpose"/>
      <w:r>
        <w:t>1  Purpose</w:t>
      </w:r>
    </w:p>
    <w:p w14:paraId="1C86942B" w14:textId="77777777" w:rsidR="0095750B" w:rsidRDefault="006F298D">
      <w:pPr>
        <w:pStyle w:val="FirstParagraph"/>
      </w:pPr>
      <w:r>
        <w:t xml:space="preserve">This Policy sets out our organisation’s commitment to use Artificial Intelligence (AI) in a way that </w:t>
      </w:r>
      <w:r>
        <w:rPr>
          <w:b/>
          <w:bCs/>
        </w:rPr>
        <w:t>drives innovation, productivity and customer value creation first</w:t>
      </w:r>
      <w:r>
        <w:t xml:space="preserve">, while safeguarding people, society and the environment. It embeds Australia’s AI Ethics Principles, the 2024 Voluntary AI Safety Standard guardrails, relevant provisions of the </w:t>
      </w:r>
      <w:r>
        <w:rPr>
          <w:i/>
          <w:iCs/>
        </w:rPr>
        <w:t>Privacy Act 1988</w:t>
      </w:r>
      <w:r>
        <w:t xml:space="preserve"> (as amended), and ISO/IEC 42001:2023.</w:t>
      </w:r>
    </w:p>
    <w:p w14:paraId="71EEFD7A" w14:textId="77777777" w:rsidR="0095750B" w:rsidRDefault="00000000">
      <w:r>
        <w:pict w14:anchorId="4C96284C">
          <v:rect id="_x0000_i1026" style="width:0;height:1.5pt" o:hralign="center" o:hrstd="t" o:hr="t"/>
        </w:pict>
      </w:r>
    </w:p>
    <w:p w14:paraId="787F1E13" w14:textId="77777777" w:rsidR="0095750B" w:rsidRDefault="006F298D">
      <w:pPr>
        <w:pStyle w:val="Heading3"/>
      </w:pPr>
      <w:bookmarkStart w:id="3" w:name="scope"/>
      <w:bookmarkEnd w:id="2"/>
      <w:r>
        <w:t>2  Scope</w:t>
      </w:r>
    </w:p>
    <w:p w14:paraId="3FB1C4F3" w14:textId="77777777" w:rsidR="0095750B" w:rsidRDefault="006F298D">
      <w:pPr>
        <w:pStyle w:val="Compact"/>
        <w:numPr>
          <w:ilvl w:val="0"/>
          <w:numId w:val="2"/>
        </w:numPr>
      </w:pPr>
      <w:r>
        <w:t xml:space="preserve">Applies to </w:t>
      </w:r>
      <w:r>
        <w:rPr>
          <w:b/>
          <w:bCs/>
        </w:rPr>
        <w:t>all employees, contractors and third‑party providers</w:t>
      </w:r>
      <w:r>
        <w:t xml:space="preserve"> who design, develop, procure, deploy or manage AI systems on behalf of .</w:t>
      </w:r>
    </w:p>
    <w:p w14:paraId="21DD7678" w14:textId="77777777" w:rsidR="0095750B" w:rsidRDefault="006F298D">
      <w:pPr>
        <w:pStyle w:val="Compact"/>
        <w:numPr>
          <w:ilvl w:val="0"/>
          <w:numId w:val="2"/>
        </w:numPr>
      </w:pPr>
      <w:r>
        <w:t xml:space="preserve">Covers AI or Automated Decision‑Making (ADM) technologies that influence internal operations, employee processes or external products/services. </w:t>
      </w:r>
    </w:p>
    <w:p w14:paraId="4816AB6A" w14:textId="77777777" w:rsidR="0095750B" w:rsidRDefault="00000000">
      <w:r>
        <w:pict w14:anchorId="3794D363">
          <v:rect id="_x0000_i1027" style="width:0;height:1.5pt" o:hralign="center" o:hrstd="t" o:hr="t"/>
        </w:pict>
      </w:r>
    </w:p>
    <w:p w14:paraId="28BAE8D6" w14:textId="77777777" w:rsidR="0095750B" w:rsidRDefault="006F298D">
      <w:pPr>
        <w:pStyle w:val="Heading3"/>
      </w:pPr>
      <w:bookmarkStart w:id="4" w:name="definitions"/>
      <w:bookmarkEnd w:id="3"/>
      <w:r>
        <w:t>3  Definitions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2353"/>
        <w:gridCol w:w="7007"/>
      </w:tblGrid>
      <w:tr w:rsidR="0095750B" w14:paraId="653470D6" w14:textId="77777777" w:rsidTr="00957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91" w:type="dxa"/>
          </w:tcPr>
          <w:p w14:paraId="25831FBA" w14:textId="77777777" w:rsidR="0095750B" w:rsidRDefault="006F298D">
            <w:pPr>
              <w:pStyle w:val="Compact"/>
            </w:pPr>
            <w:r>
              <w:t>Term</w:t>
            </w:r>
          </w:p>
        </w:tc>
        <w:tc>
          <w:tcPr>
            <w:tcW w:w="5928" w:type="dxa"/>
          </w:tcPr>
          <w:p w14:paraId="3264EF13" w14:textId="77777777" w:rsidR="0095750B" w:rsidRDefault="006F298D">
            <w:pPr>
              <w:pStyle w:val="Compact"/>
            </w:pPr>
            <w:r>
              <w:t>Meaning</w:t>
            </w:r>
          </w:p>
        </w:tc>
      </w:tr>
      <w:tr w:rsidR="0095750B" w14:paraId="641EDFBD" w14:textId="77777777">
        <w:tc>
          <w:tcPr>
            <w:tcW w:w="1991" w:type="dxa"/>
          </w:tcPr>
          <w:p w14:paraId="27D99FC7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AI System</w:t>
            </w:r>
          </w:p>
        </w:tc>
        <w:tc>
          <w:tcPr>
            <w:tcW w:w="5928" w:type="dxa"/>
          </w:tcPr>
          <w:p w14:paraId="62D36D8F" w14:textId="77777777" w:rsidR="0095750B" w:rsidRDefault="006F298D">
            <w:pPr>
              <w:pStyle w:val="Compact"/>
            </w:pPr>
            <w:r>
              <w:t>Software that performs tasks normally requiring human intelligence by learning patterns, generating content or making decisions.</w:t>
            </w:r>
          </w:p>
        </w:tc>
      </w:tr>
      <w:tr w:rsidR="0095750B" w14:paraId="7AB70CB4" w14:textId="77777777">
        <w:tc>
          <w:tcPr>
            <w:tcW w:w="1991" w:type="dxa"/>
          </w:tcPr>
          <w:p w14:paraId="0F7A38DE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High‑Risk AI</w:t>
            </w:r>
          </w:p>
        </w:tc>
        <w:tc>
          <w:tcPr>
            <w:tcW w:w="5928" w:type="dxa"/>
          </w:tcPr>
          <w:p w14:paraId="5EE46301" w14:textId="77777777" w:rsidR="0095750B" w:rsidRDefault="006F298D">
            <w:pPr>
              <w:pStyle w:val="Compact"/>
            </w:pPr>
            <w:r>
              <w:t>Any AI that can materially affect customers’ finances, health, safety, legal rights or employment.</w:t>
            </w:r>
          </w:p>
        </w:tc>
      </w:tr>
      <w:tr w:rsidR="0095750B" w14:paraId="0F4D79AF" w14:textId="77777777">
        <w:tc>
          <w:tcPr>
            <w:tcW w:w="1991" w:type="dxa"/>
          </w:tcPr>
          <w:p w14:paraId="5B6F5272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AI Registry</w:t>
            </w:r>
          </w:p>
        </w:tc>
        <w:tc>
          <w:tcPr>
            <w:tcW w:w="5928" w:type="dxa"/>
          </w:tcPr>
          <w:p w14:paraId="58BABF65" w14:textId="77777777" w:rsidR="0095750B" w:rsidRDefault="006F298D">
            <w:pPr>
              <w:pStyle w:val="Compact"/>
            </w:pPr>
            <w:r>
              <w:t>Our internal inventory of all AI systems and their risk tier, owner and safeguards.</w:t>
            </w:r>
          </w:p>
        </w:tc>
      </w:tr>
      <w:tr w:rsidR="0095750B" w14:paraId="3173B006" w14:textId="77777777">
        <w:tc>
          <w:tcPr>
            <w:tcW w:w="1991" w:type="dxa"/>
          </w:tcPr>
          <w:p w14:paraId="2A41E8F2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AI Ethics &amp; Innovation Committee (AEIC)</w:t>
            </w:r>
          </w:p>
        </w:tc>
        <w:tc>
          <w:tcPr>
            <w:tcW w:w="5928" w:type="dxa"/>
          </w:tcPr>
          <w:p w14:paraId="3D92527F" w14:textId="77777777" w:rsidR="0095750B" w:rsidRDefault="006F298D">
            <w:pPr>
              <w:pStyle w:val="Compact"/>
            </w:pPr>
            <w:r>
              <w:t>Cross‑functional body that oversees policy compliance, risk assessments and use‑case approvals.</w:t>
            </w:r>
          </w:p>
        </w:tc>
      </w:tr>
    </w:tbl>
    <w:p w14:paraId="3E34A082" w14:textId="77777777" w:rsidR="0095750B" w:rsidRDefault="00000000">
      <w:r>
        <w:pict w14:anchorId="637E4665">
          <v:rect id="_x0000_i1028" style="width:0;height:1.5pt" o:hralign="center" o:hrstd="t" o:hr="t"/>
        </w:pict>
      </w:r>
    </w:p>
    <w:p w14:paraId="03FE7C43" w14:textId="77777777" w:rsidR="0095750B" w:rsidRDefault="006F298D">
      <w:pPr>
        <w:pStyle w:val="Heading3"/>
      </w:pPr>
      <w:bookmarkStart w:id="5" w:name="guiding-principles"/>
      <w:bookmarkEnd w:id="4"/>
      <w:r>
        <w:t>4  Guiding Principles</w:t>
      </w:r>
    </w:p>
    <w:p w14:paraId="54F1D26E" w14:textId="77777777" w:rsidR="0095750B" w:rsidRDefault="006F298D">
      <w:pPr>
        <w:pStyle w:val="Compact"/>
        <w:numPr>
          <w:ilvl w:val="0"/>
          <w:numId w:val="3"/>
        </w:numPr>
      </w:pPr>
      <w:r>
        <w:rPr>
          <w:b/>
          <w:bCs/>
        </w:rPr>
        <w:t>Innovation &amp; Customer Value</w:t>
      </w:r>
      <w:r>
        <w:t xml:space="preserve"> – Deploy AI to create new value propositions before focusing on cost cutting.</w:t>
      </w:r>
    </w:p>
    <w:p w14:paraId="5C22B9B9" w14:textId="77777777" w:rsidR="0095750B" w:rsidRDefault="006F298D">
      <w:pPr>
        <w:pStyle w:val="Compact"/>
        <w:numPr>
          <w:ilvl w:val="0"/>
          <w:numId w:val="3"/>
        </w:numPr>
      </w:pPr>
      <w:r>
        <w:rPr>
          <w:b/>
          <w:bCs/>
        </w:rPr>
        <w:lastRenderedPageBreak/>
        <w:t>Human, Societal &amp; Environmental Wellbeing</w:t>
      </w:r>
      <w:r>
        <w:t xml:space="preserve"> – AI must benefit people and planet.</w:t>
      </w:r>
    </w:p>
    <w:p w14:paraId="3B3BE066" w14:textId="77777777" w:rsidR="0095750B" w:rsidRDefault="006F298D">
      <w:pPr>
        <w:pStyle w:val="Compact"/>
        <w:numPr>
          <w:ilvl w:val="0"/>
          <w:numId w:val="3"/>
        </w:numPr>
      </w:pPr>
      <w:r>
        <w:rPr>
          <w:b/>
          <w:bCs/>
        </w:rPr>
        <w:t>Human‑Centred Values</w:t>
      </w:r>
      <w:r>
        <w:t xml:space="preserve"> – Respect autonomy, dignity, diversity and human rights.</w:t>
      </w:r>
    </w:p>
    <w:p w14:paraId="031C7C01" w14:textId="77777777" w:rsidR="0095750B" w:rsidRDefault="006F298D">
      <w:pPr>
        <w:pStyle w:val="Compact"/>
        <w:numPr>
          <w:ilvl w:val="0"/>
          <w:numId w:val="3"/>
        </w:numPr>
      </w:pPr>
      <w:r>
        <w:rPr>
          <w:b/>
          <w:bCs/>
        </w:rPr>
        <w:t>Fairness &amp; Inclusion</w:t>
      </w:r>
      <w:r>
        <w:t xml:space="preserve"> – Identify and mitigate bias; ensure equitable outcomes.</w:t>
      </w:r>
    </w:p>
    <w:p w14:paraId="76CDE8C2" w14:textId="77777777" w:rsidR="0095750B" w:rsidRDefault="006F298D">
      <w:pPr>
        <w:pStyle w:val="Compact"/>
        <w:numPr>
          <w:ilvl w:val="0"/>
          <w:numId w:val="3"/>
        </w:numPr>
      </w:pPr>
      <w:r>
        <w:rPr>
          <w:b/>
          <w:bCs/>
        </w:rPr>
        <w:t>Privacy &amp; Security by Design</w:t>
      </w:r>
      <w:r>
        <w:t xml:space="preserve"> – Comply with the </w:t>
      </w:r>
      <w:r>
        <w:rPr>
          <w:i/>
          <w:iCs/>
        </w:rPr>
        <w:t>Privacy Act 1988</w:t>
      </w:r>
      <w:r>
        <w:t xml:space="preserve"> and OAIC guidance; protect data integrity and confidentiality.</w:t>
      </w:r>
    </w:p>
    <w:p w14:paraId="546755BC" w14:textId="77777777" w:rsidR="0095750B" w:rsidRDefault="006F298D">
      <w:pPr>
        <w:pStyle w:val="Compact"/>
        <w:numPr>
          <w:ilvl w:val="0"/>
          <w:numId w:val="3"/>
        </w:numPr>
      </w:pPr>
      <w:r>
        <w:rPr>
          <w:b/>
          <w:bCs/>
        </w:rPr>
        <w:t>Transparency &amp; Explainability</w:t>
      </w:r>
      <w:r>
        <w:t xml:space="preserve"> – Clearly disclose AI use to affected stakeholders and be able to explain significant decisions.</w:t>
      </w:r>
    </w:p>
    <w:p w14:paraId="1B50F66D" w14:textId="77777777" w:rsidR="0095750B" w:rsidRDefault="006F298D">
      <w:pPr>
        <w:pStyle w:val="Compact"/>
        <w:numPr>
          <w:ilvl w:val="0"/>
          <w:numId w:val="3"/>
        </w:numPr>
      </w:pPr>
      <w:r>
        <w:rPr>
          <w:b/>
          <w:bCs/>
        </w:rPr>
        <w:t>Reliability &amp; Safety</w:t>
      </w:r>
      <w:r>
        <w:t xml:space="preserve"> – Test, validate and monitor AI to operate as intended.</w:t>
      </w:r>
    </w:p>
    <w:p w14:paraId="0C0A6102" w14:textId="77777777" w:rsidR="0095750B" w:rsidRDefault="006F298D">
      <w:pPr>
        <w:pStyle w:val="Compact"/>
        <w:numPr>
          <w:ilvl w:val="0"/>
          <w:numId w:val="3"/>
        </w:numPr>
      </w:pPr>
      <w:r>
        <w:rPr>
          <w:b/>
          <w:bCs/>
        </w:rPr>
        <w:t>Accountability &amp; Governance</w:t>
      </w:r>
      <w:r>
        <w:t xml:space="preserve"> – Define clear roles; maintain auditability; enable contestability.</w:t>
      </w:r>
    </w:p>
    <w:p w14:paraId="0538400E" w14:textId="77777777" w:rsidR="0095750B" w:rsidRDefault="00000000">
      <w:r>
        <w:pict w14:anchorId="7E5F6AD4">
          <v:rect id="_x0000_i1029" style="width:0;height:1.5pt" o:hralign="center" o:hrstd="t" o:hr="t"/>
        </w:pict>
      </w:r>
    </w:p>
    <w:p w14:paraId="59FE00A6" w14:textId="77777777" w:rsidR="0095750B" w:rsidRDefault="006F298D">
      <w:pPr>
        <w:pStyle w:val="Heading3"/>
      </w:pPr>
      <w:bookmarkStart w:id="6" w:name="policy-statements"/>
      <w:bookmarkEnd w:id="5"/>
      <w:r>
        <w:t>5  Policy Statements</w:t>
      </w:r>
    </w:p>
    <w:p w14:paraId="006BB68D" w14:textId="77777777" w:rsidR="0095750B" w:rsidRDefault="006F298D">
      <w:pPr>
        <w:pStyle w:val="Heading4"/>
      </w:pPr>
      <w:bookmarkStart w:id="7" w:name="innovation-productivity-for-growth"/>
      <w:r>
        <w:t>5.1 Innovation &amp; Productivity for Growth</w:t>
      </w:r>
    </w:p>
    <w:p w14:paraId="3F46F552" w14:textId="77777777" w:rsidR="0095750B" w:rsidRDefault="006F298D">
      <w:pPr>
        <w:pStyle w:val="Compact"/>
        <w:numPr>
          <w:ilvl w:val="0"/>
          <w:numId w:val="4"/>
        </w:numPr>
      </w:pPr>
      <w:r>
        <w:t xml:space="preserve">AI initiatives must state how they </w:t>
      </w:r>
      <w:r>
        <w:rPr>
          <w:b/>
          <w:bCs/>
        </w:rPr>
        <w:t>create new revenue, improve customer experience or lift productivity</w:t>
      </w:r>
      <w:r>
        <w:t>.</w:t>
      </w:r>
    </w:p>
    <w:p w14:paraId="203E2A2D" w14:textId="77777777" w:rsidR="0095750B" w:rsidRDefault="006F298D">
      <w:pPr>
        <w:pStyle w:val="Compact"/>
        <w:numPr>
          <w:ilvl w:val="0"/>
          <w:numId w:val="4"/>
        </w:numPr>
      </w:pPr>
      <w:r>
        <w:t xml:space="preserve">Pure cost‑cutting initiatives that risk disproportionate job losses will be </w:t>
      </w:r>
      <w:r>
        <w:rPr>
          <w:b/>
          <w:bCs/>
        </w:rPr>
        <w:t>deprioritised</w:t>
      </w:r>
      <w:r>
        <w:t xml:space="preserve"> unless accompanied by clear value‑creation justification.</w:t>
      </w:r>
    </w:p>
    <w:p w14:paraId="0BE4C80F" w14:textId="77777777" w:rsidR="0095750B" w:rsidRDefault="006F298D">
      <w:pPr>
        <w:pStyle w:val="Heading4"/>
      </w:pPr>
      <w:bookmarkStart w:id="8" w:name="employee-collaboration"/>
      <w:bookmarkEnd w:id="7"/>
      <w:r>
        <w:t>5.2 Employee Collaboration</w:t>
      </w:r>
    </w:p>
    <w:p w14:paraId="62DB9468" w14:textId="77777777" w:rsidR="0095750B" w:rsidRDefault="006F298D">
      <w:pPr>
        <w:pStyle w:val="Compact"/>
        <w:numPr>
          <w:ilvl w:val="0"/>
          <w:numId w:val="5"/>
        </w:numPr>
      </w:pPr>
      <w:r>
        <w:t xml:space="preserve">Employees at all levels may propose AI ideas via the </w:t>
      </w:r>
      <w:r>
        <w:rPr>
          <w:b/>
          <w:bCs/>
        </w:rPr>
        <w:t>AI Use‑Case Portal</w:t>
      </w:r>
      <w:r>
        <w:t>.</w:t>
      </w:r>
    </w:p>
    <w:p w14:paraId="1CD93306" w14:textId="77777777" w:rsidR="0095750B" w:rsidRDefault="006F298D">
      <w:pPr>
        <w:pStyle w:val="Compact"/>
        <w:numPr>
          <w:ilvl w:val="0"/>
          <w:numId w:val="5"/>
        </w:numPr>
      </w:pPr>
      <w:r>
        <w:t xml:space="preserve">Each project team must include </w:t>
      </w:r>
      <w:r>
        <w:rPr>
          <w:b/>
          <w:bCs/>
        </w:rPr>
        <w:t>front‑line employee representatives</w:t>
      </w:r>
      <w:r>
        <w:t xml:space="preserve"> during design and testing.</w:t>
      </w:r>
    </w:p>
    <w:p w14:paraId="53872D78" w14:textId="77777777" w:rsidR="0095750B" w:rsidRDefault="006F298D">
      <w:pPr>
        <w:pStyle w:val="Heading4"/>
      </w:pPr>
      <w:bookmarkStart w:id="9" w:name="usecase-selection-criteria"/>
      <w:bookmarkEnd w:id="8"/>
      <w:r>
        <w:t>5.3 Use‑Case Selection Criteria</w:t>
      </w:r>
    </w:p>
    <w:p w14:paraId="03E82898" w14:textId="77777777" w:rsidR="0095750B" w:rsidRDefault="006F298D">
      <w:pPr>
        <w:pStyle w:val="FirstParagraph"/>
      </w:pPr>
      <w:r>
        <w:t>An AI proposal will proceed only if it:</w:t>
      </w:r>
    </w:p>
    <w:p w14:paraId="7C69F415" w14:textId="77777777" w:rsidR="0095750B" w:rsidRDefault="006F298D">
      <w:pPr>
        <w:pStyle w:val="Compact"/>
        <w:numPr>
          <w:ilvl w:val="0"/>
          <w:numId w:val="6"/>
        </w:numPr>
      </w:pPr>
      <w:r>
        <w:t>Aligns with strategic goals for growth and innovation;</w:t>
      </w:r>
    </w:p>
    <w:p w14:paraId="07C5B18F" w14:textId="77777777" w:rsidR="0095750B" w:rsidRDefault="006F298D">
      <w:pPr>
        <w:pStyle w:val="Compact"/>
        <w:numPr>
          <w:ilvl w:val="0"/>
          <w:numId w:val="6"/>
        </w:numPr>
      </w:pPr>
      <w:r>
        <w:t xml:space="preserve">Passes an </w:t>
      </w:r>
      <w:r>
        <w:rPr>
          <w:b/>
          <w:bCs/>
        </w:rPr>
        <w:t>AI Risk &amp; Ethics Assessment</w:t>
      </w:r>
      <w:r>
        <w:t xml:space="preserve"> (Appendix B);</w:t>
      </w:r>
    </w:p>
    <w:p w14:paraId="46396C07" w14:textId="77777777" w:rsidR="0095750B" w:rsidRDefault="006F298D">
      <w:pPr>
        <w:pStyle w:val="Compact"/>
        <w:numPr>
          <w:ilvl w:val="0"/>
          <w:numId w:val="6"/>
        </w:numPr>
      </w:pPr>
      <w:r>
        <w:t>Demonstrates stakeholder benefits outweigh risks;</w:t>
      </w:r>
    </w:p>
    <w:p w14:paraId="23F22169" w14:textId="77777777" w:rsidR="0095750B" w:rsidRDefault="006F298D">
      <w:pPr>
        <w:pStyle w:val="Compact"/>
        <w:numPr>
          <w:ilvl w:val="0"/>
          <w:numId w:val="6"/>
        </w:numPr>
      </w:pPr>
      <w:r>
        <w:t>Provides measurable KPIs and monitoring plan.</w:t>
      </w:r>
    </w:p>
    <w:p w14:paraId="1AF87CF5" w14:textId="77777777" w:rsidR="0095750B" w:rsidRDefault="006F298D">
      <w:pPr>
        <w:pStyle w:val="Heading4"/>
      </w:pPr>
      <w:bookmarkStart w:id="10" w:name="risk-assessment-compliance"/>
      <w:bookmarkEnd w:id="9"/>
      <w:r>
        <w:t>5.4 Risk Assessment &amp; Compliance</w:t>
      </w:r>
    </w:p>
    <w:p w14:paraId="49DE853E" w14:textId="77777777" w:rsidR="0095750B" w:rsidRDefault="006F298D">
      <w:pPr>
        <w:pStyle w:val="Compact"/>
        <w:numPr>
          <w:ilvl w:val="0"/>
          <w:numId w:val="7"/>
        </w:numPr>
      </w:pPr>
      <w:r>
        <w:t xml:space="preserve">All High‑Risk AI requires </w:t>
      </w:r>
      <w:r>
        <w:rPr>
          <w:b/>
          <w:bCs/>
        </w:rPr>
        <w:t>Algorithmic Impact Assessment (AIA)</w:t>
      </w:r>
      <w:r>
        <w:t>, Privacy Impact Assessment (PIA) and approval by the AEIC.</w:t>
      </w:r>
    </w:p>
    <w:p w14:paraId="78AA64E0" w14:textId="77777777" w:rsidR="0095750B" w:rsidRDefault="006F298D">
      <w:pPr>
        <w:pStyle w:val="Compact"/>
        <w:numPr>
          <w:ilvl w:val="0"/>
          <w:numId w:val="7"/>
        </w:numPr>
      </w:pPr>
      <w:r>
        <w:t>AI Registry must be kept current; risk tier updates at least annually.</w:t>
      </w:r>
    </w:p>
    <w:p w14:paraId="3BECDEE9" w14:textId="77777777" w:rsidR="0095750B" w:rsidRDefault="006F298D">
      <w:pPr>
        <w:pStyle w:val="Heading4"/>
      </w:pPr>
      <w:bookmarkStart w:id="11" w:name="bias-mitigation-fairness"/>
      <w:bookmarkEnd w:id="10"/>
      <w:r>
        <w:t>5.5 Bias Mitigation &amp; Fairness</w:t>
      </w:r>
    </w:p>
    <w:p w14:paraId="09305C1A" w14:textId="77777777" w:rsidR="0095750B" w:rsidRDefault="006F298D">
      <w:pPr>
        <w:pStyle w:val="Compact"/>
        <w:numPr>
          <w:ilvl w:val="0"/>
          <w:numId w:val="8"/>
        </w:numPr>
      </w:pPr>
      <w:r>
        <w:t>Data sets must be assessed for representativeness and bias.</w:t>
      </w:r>
    </w:p>
    <w:p w14:paraId="1F4A018D" w14:textId="77777777" w:rsidR="0095750B" w:rsidRDefault="006F298D">
      <w:pPr>
        <w:pStyle w:val="Compact"/>
        <w:numPr>
          <w:ilvl w:val="0"/>
          <w:numId w:val="8"/>
        </w:numPr>
      </w:pPr>
      <w:r>
        <w:t>Models impacting employment, credit, health or pricing must undergo independent fairness testing.</w:t>
      </w:r>
    </w:p>
    <w:p w14:paraId="752A4939" w14:textId="77777777" w:rsidR="0095750B" w:rsidRDefault="006F298D">
      <w:pPr>
        <w:pStyle w:val="Heading4"/>
      </w:pPr>
      <w:bookmarkStart w:id="12" w:name="privacy-data-protection"/>
      <w:bookmarkEnd w:id="11"/>
      <w:r>
        <w:lastRenderedPageBreak/>
        <w:t>5.6 Privacy &amp; Data Protection</w:t>
      </w:r>
    </w:p>
    <w:p w14:paraId="72480917" w14:textId="77777777" w:rsidR="0095750B" w:rsidRDefault="006F298D">
      <w:pPr>
        <w:pStyle w:val="Compact"/>
        <w:numPr>
          <w:ilvl w:val="0"/>
          <w:numId w:val="9"/>
        </w:numPr>
      </w:pPr>
      <w:r>
        <w:t>Personal or sensitive information shall only be used consistent with consent, purpose limitation and data minimisation principles.</w:t>
      </w:r>
    </w:p>
    <w:p w14:paraId="50919B16" w14:textId="77777777" w:rsidR="0095750B" w:rsidRDefault="006F298D">
      <w:pPr>
        <w:pStyle w:val="Compact"/>
        <w:numPr>
          <w:ilvl w:val="0"/>
          <w:numId w:val="9"/>
        </w:numPr>
      </w:pPr>
      <w:r>
        <w:t>No personal data may be entered into public generative AI tools without AEIC approval and documented safeguards.</w:t>
      </w:r>
    </w:p>
    <w:p w14:paraId="7CF76BD6" w14:textId="77777777" w:rsidR="0095750B" w:rsidRDefault="006F298D">
      <w:pPr>
        <w:pStyle w:val="Heading4"/>
      </w:pPr>
      <w:bookmarkStart w:id="13" w:name="human-oversight-control"/>
      <w:bookmarkEnd w:id="12"/>
      <w:r>
        <w:t>5.7 Human Oversight &amp; Control</w:t>
      </w:r>
    </w:p>
    <w:p w14:paraId="3AF0F092" w14:textId="77777777" w:rsidR="0095750B" w:rsidRDefault="006F298D">
      <w:pPr>
        <w:pStyle w:val="Compact"/>
        <w:numPr>
          <w:ilvl w:val="0"/>
          <w:numId w:val="10"/>
        </w:numPr>
      </w:pPr>
      <w:r>
        <w:t xml:space="preserve">High‑impact decisions always retain a </w:t>
      </w:r>
      <w:r>
        <w:rPr>
          <w:b/>
          <w:bCs/>
        </w:rPr>
        <w:t>human‑in‑the‑loop</w:t>
      </w:r>
      <w:r>
        <w:t xml:space="preserve"> or </w:t>
      </w:r>
      <w:r>
        <w:rPr>
          <w:b/>
          <w:bCs/>
        </w:rPr>
        <w:t>human‑on‑the‑loop</w:t>
      </w:r>
      <w:r>
        <w:t xml:space="preserve"> override.</w:t>
      </w:r>
    </w:p>
    <w:p w14:paraId="4849E662" w14:textId="77777777" w:rsidR="0095750B" w:rsidRDefault="006F298D">
      <w:pPr>
        <w:pStyle w:val="Compact"/>
        <w:numPr>
          <w:ilvl w:val="0"/>
          <w:numId w:val="10"/>
        </w:numPr>
      </w:pPr>
      <w:r>
        <w:t>Contestability: Individuals can request a human review of any significant AI decision.</w:t>
      </w:r>
    </w:p>
    <w:p w14:paraId="5618132B" w14:textId="77777777" w:rsidR="0095750B" w:rsidRDefault="006F298D">
      <w:pPr>
        <w:pStyle w:val="Heading4"/>
      </w:pPr>
      <w:bookmarkStart w:id="14" w:name="employment-impact-workforce-transition"/>
      <w:bookmarkEnd w:id="13"/>
      <w:r>
        <w:t>5.8 Employment Impact &amp; Workforce Transition</w:t>
      </w:r>
    </w:p>
    <w:p w14:paraId="74A44317" w14:textId="77777777" w:rsidR="0095750B" w:rsidRDefault="006F298D">
      <w:pPr>
        <w:pStyle w:val="Compact"/>
        <w:numPr>
          <w:ilvl w:val="0"/>
          <w:numId w:val="11"/>
        </w:numPr>
      </w:pPr>
      <w:r>
        <w:t xml:space="preserve">Where AI adoption may change roles, the company will </w:t>
      </w:r>
      <w:r>
        <w:rPr>
          <w:b/>
          <w:bCs/>
        </w:rPr>
        <w:t>prioritise up‑skilling, re‑skilling and redeployment</w:t>
      </w:r>
      <w:r>
        <w:t>.</w:t>
      </w:r>
    </w:p>
    <w:p w14:paraId="5CAECDD4" w14:textId="77777777" w:rsidR="0095750B" w:rsidRDefault="006F298D">
      <w:pPr>
        <w:pStyle w:val="Compact"/>
        <w:numPr>
          <w:ilvl w:val="0"/>
          <w:numId w:val="11"/>
        </w:numPr>
      </w:pPr>
      <w:r>
        <w:t>In the rare event redundancies are unavoidable, the company commits to transparent consultation, fair separation terms and support programs.</w:t>
      </w:r>
    </w:p>
    <w:p w14:paraId="391B1D40" w14:textId="77777777" w:rsidR="0095750B" w:rsidRDefault="006F298D">
      <w:pPr>
        <w:pStyle w:val="Compact"/>
        <w:numPr>
          <w:ilvl w:val="0"/>
          <w:numId w:val="11"/>
        </w:numPr>
      </w:pPr>
      <w:r>
        <w:t xml:space="preserve">Employees are expected to support such transitions </w:t>
      </w:r>
      <w:r>
        <w:rPr>
          <w:b/>
          <w:bCs/>
        </w:rPr>
        <w:t>provided the spirit of this Policy – value‑creation before cost‑cutting, fairness and collaboration – is demonstrably upheld</w:t>
      </w:r>
      <w:r>
        <w:t>.</w:t>
      </w:r>
    </w:p>
    <w:p w14:paraId="603DF4EB" w14:textId="77777777" w:rsidR="0095750B" w:rsidRDefault="00000000">
      <w:r>
        <w:pict w14:anchorId="2D923490">
          <v:rect id="_x0000_i1030" style="width:0;height:1.5pt" o:hralign="center" o:hrstd="t" o:hr="t"/>
        </w:pict>
      </w:r>
    </w:p>
    <w:p w14:paraId="43E9BEF3" w14:textId="77777777" w:rsidR="0095750B" w:rsidRDefault="006F298D">
      <w:pPr>
        <w:pStyle w:val="Heading3"/>
      </w:pPr>
      <w:bookmarkStart w:id="15" w:name="governance-structure-responsibilities"/>
      <w:bookmarkEnd w:id="6"/>
      <w:bookmarkEnd w:id="14"/>
      <w:r>
        <w:t>6  Governance Structure &amp; Responsibilities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2146"/>
        <w:gridCol w:w="7214"/>
      </w:tblGrid>
      <w:tr w:rsidR="0095750B" w14:paraId="4F92B017" w14:textId="77777777" w:rsidTr="00957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16" w:type="dxa"/>
          </w:tcPr>
          <w:p w14:paraId="794F5979" w14:textId="77777777" w:rsidR="0095750B" w:rsidRDefault="006F298D">
            <w:pPr>
              <w:pStyle w:val="Compact"/>
            </w:pPr>
            <w:r>
              <w:t>Role</w:t>
            </w:r>
          </w:p>
        </w:tc>
        <w:tc>
          <w:tcPr>
            <w:tcW w:w="6103" w:type="dxa"/>
          </w:tcPr>
          <w:p w14:paraId="7428780E" w14:textId="77777777" w:rsidR="0095750B" w:rsidRDefault="006F298D">
            <w:pPr>
              <w:pStyle w:val="Compact"/>
            </w:pPr>
            <w:r>
              <w:t>Key Duties</w:t>
            </w:r>
          </w:p>
        </w:tc>
      </w:tr>
      <w:tr w:rsidR="0095750B" w14:paraId="500BE8B1" w14:textId="77777777">
        <w:tc>
          <w:tcPr>
            <w:tcW w:w="1816" w:type="dxa"/>
          </w:tcPr>
          <w:p w14:paraId="497A37B3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Board / Executive</w:t>
            </w:r>
          </w:p>
        </w:tc>
        <w:tc>
          <w:tcPr>
            <w:tcW w:w="6103" w:type="dxa"/>
          </w:tcPr>
          <w:p w14:paraId="70B7A398" w14:textId="77777777" w:rsidR="0095750B" w:rsidRDefault="006F298D">
            <w:pPr>
              <w:pStyle w:val="Compact"/>
            </w:pPr>
            <w:r>
              <w:t>Endorse Policy, set appetite for AI risk, review annual AI Ethics Report.</w:t>
            </w:r>
          </w:p>
        </w:tc>
      </w:tr>
      <w:tr w:rsidR="0095750B" w14:paraId="3A0522CC" w14:textId="77777777">
        <w:tc>
          <w:tcPr>
            <w:tcW w:w="1816" w:type="dxa"/>
          </w:tcPr>
          <w:p w14:paraId="73EAAC7C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AEIC</w:t>
            </w:r>
          </w:p>
        </w:tc>
        <w:tc>
          <w:tcPr>
            <w:tcW w:w="6103" w:type="dxa"/>
          </w:tcPr>
          <w:p w14:paraId="0CE7F741" w14:textId="77777777" w:rsidR="0095750B" w:rsidRDefault="006F298D">
            <w:pPr>
              <w:pStyle w:val="Compact"/>
            </w:pPr>
            <w:r>
              <w:t>Maintain AI Registry, approve high‑risk use cases, oversee audits, publish guidance.</w:t>
            </w:r>
          </w:p>
        </w:tc>
      </w:tr>
      <w:tr w:rsidR="0095750B" w14:paraId="54B736FB" w14:textId="77777777">
        <w:tc>
          <w:tcPr>
            <w:tcW w:w="1816" w:type="dxa"/>
          </w:tcPr>
          <w:p w14:paraId="7214D010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Business Owners</w:t>
            </w:r>
          </w:p>
        </w:tc>
        <w:tc>
          <w:tcPr>
            <w:tcW w:w="6103" w:type="dxa"/>
          </w:tcPr>
          <w:p w14:paraId="237EDB7E" w14:textId="77777777" w:rsidR="0095750B" w:rsidRDefault="006F298D">
            <w:pPr>
              <w:pStyle w:val="Compact"/>
            </w:pPr>
            <w:r>
              <w:t>Submit use‑case proposals, ensure compliance in their domain.</w:t>
            </w:r>
          </w:p>
        </w:tc>
      </w:tr>
      <w:tr w:rsidR="0095750B" w14:paraId="2B59438B" w14:textId="77777777">
        <w:tc>
          <w:tcPr>
            <w:tcW w:w="1816" w:type="dxa"/>
          </w:tcPr>
          <w:p w14:paraId="13C51C98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IT &amp; Data Leaders</w:t>
            </w:r>
          </w:p>
        </w:tc>
        <w:tc>
          <w:tcPr>
            <w:tcW w:w="6103" w:type="dxa"/>
          </w:tcPr>
          <w:p w14:paraId="0BE6ABCB" w14:textId="77777777" w:rsidR="0095750B" w:rsidRDefault="006F298D">
            <w:pPr>
              <w:pStyle w:val="Compact"/>
            </w:pPr>
            <w:r>
              <w:t>Implement technical safeguards, data governance, security controls.</w:t>
            </w:r>
          </w:p>
        </w:tc>
      </w:tr>
      <w:tr w:rsidR="0095750B" w14:paraId="46AD391C" w14:textId="77777777">
        <w:tc>
          <w:tcPr>
            <w:tcW w:w="1816" w:type="dxa"/>
          </w:tcPr>
          <w:p w14:paraId="1A80F933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HR / People &amp; Culture</w:t>
            </w:r>
          </w:p>
        </w:tc>
        <w:tc>
          <w:tcPr>
            <w:tcW w:w="6103" w:type="dxa"/>
          </w:tcPr>
          <w:p w14:paraId="60E4DADD" w14:textId="77777777" w:rsidR="0095750B" w:rsidRDefault="006F298D">
            <w:pPr>
              <w:pStyle w:val="Compact"/>
            </w:pPr>
            <w:r>
              <w:t>Manage workforce transition, training and change‑management.</w:t>
            </w:r>
          </w:p>
        </w:tc>
      </w:tr>
      <w:tr w:rsidR="0095750B" w14:paraId="4C76B6DA" w14:textId="77777777">
        <w:tc>
          <w:tcPr>
            <w:tcW w:w="1816" w:type="dxa"/>
          </w:tcPr>
          <w:p w14:paraId="7E74C56E" w14:textId="77777777" w:rsidR="0095750B" w:rsidRDefault="006F298D">
            <w:pPr>
              <w:pStyle w:val="Compact"/>
            </w:pPr>
            <w:r>
              <w:rPr>
                <w:b/>
                <w:bCs/>
              </w:rPr>
              <w:t>All Employees</w:t>
            </w:r>
          </w:p>
        </w:tc>
        <w:tc>
          <w:tcPr>
            <w:tcW w:w="6103" w:type="dxa"/>
          </w:tcPr>
          <w:p w14:paraId="60C6FA21" w14:textId="77777777" w:rsidR="0095750B" w:rsidRDefault="006F298D">
            <w:pPr>
              <w:pStyle w:val="Compact"/>
            </w:pPr>
            <w:r>
              <w:t>Use AI responsibly, report concerns, engage in continuous improvement.</w:t>
            </w:r>
          </w:p>
        </w:tc>
      </w:tr>
    </w:tbl>
    <w:p w14:paraId="0151B47F" w14:textId="77777777" w:rsidR="0095750B" w:rsidRDefault="00000000">
      <w:r>
        <w:pict w14:anchorId="5CF7415E">
          <v:rect id="_x0000_i1031" style="width:0;height:1.5pt" o:hralign="center" o:hrstd="t" o:hr="t"/>
        </w:pict>
      </w:r>
    </w:p>
    <w:p w14:paraId="368623CF" w14:textId="77777777" w:rsidR="0095750B" w:rsidRDefault="006F298D">
      <w:pPr>
        <w:pStyle w:val="Heading3"/>
      </w:pPr>
      <w:bookmarkStart w:id="16" w:name="employee-obligations"/>
      <w:bookmarkEnd w:id="15"/>
      <w:r>
        <w:t>6.1  Employee Obligations</w:t>
      </w:r>
    </w:p>
    <w:p w14:paraId="53189477" w14:textId="77777777" w:rsidR="0095750B" w:rsidRDefault="006F298D">
      <w:pPr>
        <w:pStyle w:val="FirstParagraph"/>
      </w:pPr>
      <w:r>
        <w:t xml:space="preserve">To ensure AI systems are used safely and reliably across technical disciplines, </w:t>
      </w:r>
      <w:r>
        <w:rPr>
          <w:b/>
          <w:bCs/>
        </w:rPr>
        <w:t>every employee</w:t>
      </w:r>
      <w:r>
        <w:t xml:space="preserve"> must:</w:t>
      </w:r>
    </w:p>
    <w:p w14:paraId="71047D7B" w14:textId="77777777" w:rsidR="0095750B" w:rsidRDefault="006F298D">
      <w:pPr>
        <w:pStyle w:val="Compact"/>
        <w:numPr>
          <w:ilvl w:val="0"/>
          <w:numId w:val="12"/>
        </w:numPr>
      </w:pPr>
      <w:r>
        <w:rPr>
          <w:b/>
          <w:bCs/>
        </w:rPr>
        <w:lastRenderedPageBreak/>
        <w:t>Validate engineering outputs</w:t>
      </w:r>
      <w:r>
        <w:t xml:space="preserve"> – Cross‑check any AI‑generated calculations, designs or ratings via manual methods and peer review in line with Engineers Australia Practice Note 01.</w:t>
      </w:r>
    </w:p>
    <w:p w14:paraId="544ED93C" w14:textId="77777777" w:rsidR="0095750B" w:rsidRDefault="006F298D">
      <w:pPr>
        <w:pStyle w:val="Compact"/>
        <w:numPr>
          <w:ilvl w:val="0"/>
          <w:numId w:val="12"/>
        </w:numPr>
      </w:pPr>
      <w:r>
        <w:rPr>
          <w:b/>
          <w:bCs/>
        </w:rPr>
        <w:t>Verify research insights</w:t>
      </w:r>
      <w:r>
        <w:t xml:space="preserve"> – Corroborate AI‑derived research findings or market data with at least </w:t>
      </w:r>
      <w:r>
        <w:rPr>
          <w:b/>
          <w:bCs/>
        </w:rPr>
        <w:t>two authoritative sources</w:t>
      </w:r>
      <w:r>
        <w:t xml:space="preserve"> before using them in decision‑making or client deliverables.</w:t>
      </w:r>
    </w:p>
    <w:p w14:paraId="6FF0AEE2" w14:textId="77777777" w:rsidR="0095750B" w:rsidRDefault="006F298D">
      <w:pPr>
        <w:pStyle w:val="Compact"/>
        <w:numPr>
          <w:ilvl w:val="0"/>
          <w:numId w:val="12"/>
        </w:numPr>
      </w:pPr>
      <w:r>
        <w:rPr>
          <w:b/>
          <w:bCs/>
        </w:rPr>
        <w:t>Engage in QA/QC</w:t>
      </w:r>
      <w:r>
        <w:t xml:space="preserve"> – Participate in testing cycles by supplying representative data samples, completing accuracy checklists and logging anomalies for AEIC review.</w:t>
      </w:r>
    </w:p>
    <w:p w14:paraId="7F71F701" w14:textId="77777777" w:rsidR="0095750B" w:rsidRDefault="006F298D">
      <w:pPr>
        <w:pStyle w:val="Compact"/>
        <w:numPr>
          <w:ilvl w:val="0"/>
          <w:numId w:val="12"/>
        </w:numPr>
      </w:pPr>
      <w:r>
        <w:rPr>
          <w:b/>
          <w:bCs/>
        </w:rPr>
        <w:t>Document assumptions &amp; limitations</w:t>
      </w:r>
      <w:r>
        <w:t xml:space="preserve"> – Clearly record AI model parameters, data provenance and any known uncertainties in project files.</w:t>
      </w:r>
    </w:p>
    <w:p w14:paraId="521DD893" w14:textId="77777777" w:rsidR="0095750B" w:rsidRDefault="006F298D">
      <w:pPr>
        <w:pStyle w:val="Compact"/>
        <w:numPr>
          <w:ilvl w:val="0"/>
          <w:numId w:val="12"/>
        </w:numPr>
      </w:pPr>
      <w:r>
        <w:rPr>
          <w:b/>
          <w:bCs/>
        </w:rPr>
        <w:t>Escalate concerns</w:t>
      </w:r>
      <w:r>
        <w:t xml:space="preserve"> – Promptly flag irregular, biased or unsafe outputs via the Incident Response channel.</w:t>
      </w:r>
    </w:p>
    <w:p w14:paraId="5E0A58F1" w14:textId="77777777" w:rsidR="0095750B" w:rsidRDefault="006F298D">
      <w:pPr>
        <w:pStyle w:val="Compact"/>
        <w:numPr>
          <w:ilvl w:val="0"/>
          <w:numId w:val="12"/>
        </w:numPr>
      </w:pPr>
      <w:r>
        <w:rPr>
          <w:b/>
          <w:bCs/>
        </w:rPr>
        <w:t>Follow supporting SOPs</w:t>
      </w:r>
      <w:r>
        <w:t xml:space="preserve"> – Adhere to engineering, research and QA/QC Standard Operating Procedures (SOPs) that provide step‑by‑step checks before sign‑off.</w:t>
      </w:r>
    </w:p>
    <w:p w14:paraId="4E02F1B6" w14:textId="77777777" w:rsidR="0095750B" w:rsidRDefault="006F298D">
      <w:pPr>
        <w:pStyle w:val="Heading3"/>
      </w:pPr>
      <w:bookmarkStart w:id="17" w:name="responsible-personal-use-of-ai-llm-tools"/>
      <w:bookmarkEnd w:id="16"/>
      <w:r>
        <w:t>6.2  Responsible Personal Use of AI &amp; LLM Tools</w:t>
      </w:r>
    </w:p>
    <w:p w14:paraId="61FFBCFD" w14:textId="77777777" w:rsidR="0095750B" w:rsidRDefault="006F298D">
      <w:pPr>
        <w:pStyle w:val="FirstParagraph"/>
      </w:pPr>
      <w:r>
        <w:t xml:space="preserve">Employees are encouraged to explore public or commercial Large‑Language Models (LLMs) and other AI tools </w:t>
      </w:r>
      <w:r>
        <w:rPr>
          <w:b/>
          <w:bCs/>
        </w:rPr>
        <w:t>for learning, ideation and productivity</w:t>
      </w:r>
      <w:r>
        <w:t>, provided they:</w:t>
      </w:r>
    </w:p>
    <w:p w14:paraId="2B022900" w14:textId="77777777" w:rsidR="0095750B" w:rsidRDefault="006F298D">
      <w:pPr>
        <w:pStyle w:val="Compact"/>
        <w:numPr>
          <w:ilvl w:val="0"/>
          <w:numId w:val="13"/>
        </w:numPr>
      </w:pPr>
      <w:r>
        <w:rPr>
          <w:b/>
          <w:bCs/>
        </w:rPr>
        <w:t>Stay lawful &amp; ethical</w:t>
      </w:r>
      <w:r>
        <w:t> – No generation or distribution of unlawful, defamatory, discriminatory, hateful, violent or sexually explicit content.</w:t>
      </w:r>
    </w:p>
    <w:p w14:paraId="0CEBBED8" w14:textId="77777777" w:rsidR="0095750B" w:rsidRDefault="006F298D">
      <w:pPr>
        <w:pStyle w:val="Compact"/>
        <w:numPr>
          <w:ilvl w:val="0"/>
          <w:numId w:val="13"/>
        </w:numPr>
      </w:pPr>
      <w:r>
        <w:rPr>
          <w:b/>
          <w:bCs/>
        </w:rPr>
        <w:t>Protect confidentiality</w:t>
      </w:r>
      <w:r>
        <w:t xml:space="preserve"> – Do </w:t>
      </w:r>
      <w:r>
        <w:rPr>
          <w:b/>
          <w:bCs/>
        </w:rPr>
        <w:t>not</w:t>
      </w:r>
      <w:r>
        <w:t xml:space="preserve"> input client data, personal information, designs, source code or commercially sensitive material into any external AI service unless it is on the </w:t>
      </w:r>
      <w:r>
        <w:rPr>
          <w:b/>
          <w:bCs/>
        </w:rPr>
        <w:t>company‑approved list</w:t>
      </w:r>
      <w:r>
        <w:t xml:space="preserve"> and covered by a data‑processing agreement.</w:t>
      </w:r>
    </w:p>
    <w:p w14:paraId="4B050FC7" w14:textId="77777777" w:rsidR="0095750B" w:rsidRDefault="006F298D">
      <w:pPr>
        <w:pStyle w:val="Compact"/>
        <w:numPr>
          <w:ilvl w:val="0"/>
          <w:numId w:val="13"/>
        </w:numPr>
      </w:pPr>
      <w:r>
        <w:rPr>
          <w:b/>
          <w:bCs/>
        </w:rPr>
        <w:t>Align with IT Acceptable Use</w:t>
      </w:r>
      <w:r>
        <w:t> – All use must comply with the organisation’s IT Acceptable Use Policy and Code of Conduct. Any breach will trigger disciplinary procedures.</w:t>
      </w:r>
    </w:p>
    <w:p w14:paraId="1C3B1EAF" w14:textId="77777777" w:rsidR="0095750B" w:rsidRDefault="006F298D">
      <w:pPr>
        <w:pStyle w:val="Compact"/>
        <w:numPr>
          <w:ilvl w:val="0"/>
          <w:numId w:val="13"/>
        </w:numPr>
      </w:pPr>
      <w:r>
        <w:rPr>
          <w:b/>
          <w:bCs/>
        </w:rPr>
        <w:t>Attribute &amp; verify</w:t>
      </w:r>
      <w:r>
        <w:t xml:space="preserve"> – Clearly mark AI‑assisted content and </w:t>
      </w:r>
      <w:r>
        <w:rPr>
          <w:b/>
          <w:bCs/>
        </w:rPr>
        <w:t>fact‑check</w:t>
      </w:r>
      <w:r>
        <w:t xml:space="preserve"> before internal or external circulation. Critical communications (marketing, legal, contractual) require manager review.</w:t>
      </w:r>
    </w:p>
    <w:p w14:paraId="2314EDCD" w14:textId="77777777" w:rsidR="0095750B" w:rsidRDefault="006F298D">
      <w:pPr>
        <w:pStyle w:val="Compact"/>
        <w:numPr>
          <w:ilvl w:val="0"/>
          <w:numId w:val="13"/>
        </w:numPr>
      </w:pPr>
      <w:r>
        <w:rPr>
          <w:b/>
          <w:bCs/>
        </w:rPr>
        <w:t>No automated outreach</w:t>
      </w:r>
      <w:r>
        <w:t> – Employees must not deploy AI chatbots or mass‑email agents that contact external parties without AEIC authorisation and compliance checks (e.g., Spam Act suppression lists).</w:t>
      </w:r>
    </w:p>
    <w:p w14:paraId="74F39D39" w14:textId="77777777" w:rsidR="0095750B" w:rsidRDefault="006F298D">
      <w:pPr>
        <w:pStyle w:val="Compact"/>
        <w:numPr>
          <w:ilvl w:val="0"/>
          <w:numId w:val="13"/>
        </w:numPr>
      </w:pPr>
      <w:r>
        <w:rPr>
          <w:b/>
          <w:bCs/>
        </w:rPr>
        <w:t>Respect intellectual property</w:t>
      </w:r>
      <w:r>
        <w:t> – Refrain from prompting AI to reproduce copyrighted material; cite sources when re‑using AI‑generated outputs.</w:t>
      </w:r>
    </w:p>
    <w:p w14:paraId="40E3860C" w14:textId="77777777" w:rsidR="0095750B" w:rsidRDefault="006F298D">
      <w:pPr>
        <w:pStyle w:val="Heading3"/>
      </w:pPr>
      <w:bookmarkStart w:id="18" w:name="operational-procedures"/>
      <w:bookmarkEnd w:id="17"/>
      <w:r>
        <w:t>7  Operational Procedures</w:t>
      </w:r>
    </w:p>
    <w:p w14:paraId="739A5B64" w14:textId="77777777" w:rsidR="0095750B" w:rsidRDefault="006F298D">
      <w:pPr>
        <w:pStyle w:val="Compact"/>
        <w:numPr>
          <w:ilvl w:val="0"/>
          <w:numId w:val="14"/>
        </w:numPr>
      </w:pPr>
      <w:r>
        <w:rPr>
          <w:b/>
          <w:bCs/>
        </w:rPr>
        <w:t>AI System Register</w:t>
      </w:r>
      <w:r>
        <w:t xml:space="preserve"> – Mandatory entry before procurement or build.</w:t>
      </w:r>
    </w:p>
    <w:p w14:paraId="03B0EDCA" w14:textId="77777777" w:rsidR="0095750B" w:rsidRDefault="006F298D">
      <w:pPr>
        <w:pStyle w:val="Compact"/>
        <w:numPr>
          <w:ilvl w:val="0"/>
          <w:numId w:val="14"/>
        </w:numPr>
      </w:pPr>
      <w:r>
        <w:rPr>
          <w:b/>
          <w:bCs/>
        </w:rPr>
        <w:t>Use‑Case Proposal Workflow</w:t>
      </w:r>
      <w:r>
        <w:t xml:space="preserve"> (Appendix A) – Idea → Preliminary AIA → AEIC review → Pilot → Full deploy.</w:t>
      </w:r>
    </w:p>
    <w:p w14:paraId="359F0592" w14:textId="77777777" w:rsidR="0095750B" w:rsidRDefault="006F298D">
      <w:pPr>
        <w:pStyle w:val="Compact"/>
        <w:numPr>
          <w:ilvl w:val="0"/>
          <w:numId w:val="14"/>
        </w:numPr>
      </w:pPr>
      <w:r>
        <w:rPr>
          <w:b/>
          <w:bCs/>
        </w:rPr>
        <w:t>Testing &amp; Validation</w:t>
      </w:r>
      <w:r>
        <w:t xml:space="preserve"> – Pre‑launch bias tests, performance metrics, security review.</w:t>
      </w:r>
    </w:p>
    <w:p w14:paraId="30A58BCE" w14:textId="77777777" w:rsidR="0095750B" w:rsidRDefault="006F298D">
      <w:pPr>
        <w:pStyle w:val="Compact"/>
        <w:numPr>
          <w:ilvl w:val="0"/>
          <w:numId w:val="14"/>
        </w:numPr>
      </w:pPr>
      <w:r>
        <w:rPr>
          <w:b/>
          <w:bCs/>
        </w:rPr>
        <w:lastRenderedPageBreak/>
        <w:t>Monitoring &amp; Feedback</w:t>
      </w:r>
      <w:r>
        <w:t xml:space="preserve"> – Real‑time alerts for drift; quarterly review meetings; user feedback loop.</w:t>
      </w:r>
    </w:p>
    <w:p w14:paraId="59F1288A" w14:textId="77777777" w:rsidR="0095750B" w:rsidRDefault="006F298D">
      <w:pPr>
        <w:pStyle w:val="Compact"/>
        <w:numPr>
          <w:ilvl w:val="0"/>
          <w:numId w:val="14"/>
        </w:numPr>
      </w:pPr>
      <w:r>
        <w:rPr>
          <w:b/>
          <w:bCs/>
        </w:rPr>
        <w:t>Incident Response</w:t>
      </w:r>
      <w:r>
        <w:t xml:space="preserve"> – Follow Cyber‑Security Incident Plan; notify AEIC and legal within 24 hrs of any AI malfunction or data breach.</w:t>
      </w:r>
    </w:p>
    <w:p w14:paraId="13AD13A5" w14:textId="77777777" w:rsidR="0095750B" w:rsidRDefault="00000000">
      <w:r>
        <w:pict w14:anchorId="149390D0">
          <v:rect id="_x0000_i1032" style="width:0;height:1.5pt" o:hralign="center" o:hrstd="t" o:hr="t"/>
        </w:pict>
      </w:r>
    </w:p>
    <w:p w14:paraId="71D76ECA" w14:textId="77777777" w:rsidR="0095750B" w:rsidRDefault="006F298D">
      <w:pPr>
        <w:pStyle w:val="Heading3"/>
      </w:pPr>
      <w:bookmarkStart w:id="19" w:name="training-awareness"/>
      <w:bookmarkEnd w:id="18"/>
      <w:r>
        <w:t>8  Training &amp; Awareness</w:t>
      </w:r>
    </w:p>
    <w:p w14:paraId="70C23105" w14:textId="77777777" w:rsidR="0095750B" w:rsidRDefault="006F298D">
      <w:pPr>
        <w:pStyle w:val="Compact"/>
        <w:numPr>
          <w:ilvl w:val="0"/>
          <w:numId w:val="15"/>
        </w:numPr>
      </w:pPr>
      <w:r>
        <w:t xml:space="preserve">Annual </w:t>
      </w:r>
      <w:r>
        <w:rPr>
          <w:b/>
          <w:bCs/>
        </w:rPr>
        <w:t>Responsible AI training</w:t>
      </w:r>
      <w:r>
        <w:t xml:space="preserve"> is mandatory for all staff; role‑specific deep dives for developers and data scientists.</w:t>
      </w:r>
    </w:p>
    <w:p w14:paraId="64DF6D8C" w14:textId="77777777" w:rsidR="0095750B" w:rsidRDefault="006F298D">
      <w:pPr>
        <w:pStyle w:val="Compact"/>
        <w:numPr>
          <w:ilvl w:val="0"/>
          <w:numId w:val="15"/>
        </w:numPr>
      </w:pPr>
      <w:r>
        <w:t>Regular lunch‑and‑learns showcase successful employee‑led AI innovations.</w:t>
      </w:r>
    </w:p>
    <w:p w14:paraId="6A7A80E1" w14:textId="77777777" w:rsidR="0095750B" w:rsidRDefault="00000000">
      <w:r>
        <w:pict w14:anchorId="7C2730FC">
          <v:rect id="_x0000_i1033" style="width:0;height:1.5pt" o:hralign="center" o:hrstd="t" o:hr="t"/>
        </w:pict>
      </w:r>
    </w:p>
    <w:p w14:paraId="78AF1C97" w14:textId="77777777" w:rsidR="0095750B" w:rsidRDefault="006F298D">
      <w:pPr>
        <w:pStyle w:val="Heading3"/>
      </w:pPr>
      <w:bookmarkStart w:id="20" w:name="transparency-communication"/>
      <w:bookmarkEnd w:id="19"/>
      <w:r>
        <w:t>9  Transparency &amp; Communication</w:t>
      </w:r>
    </w:p>
    <w:p w14:paraId="70E8B96D" w14:textId="77777777" w:rsidR="0095750B" w:rsidRDefault="006F298D">
      <w:pPr>
        <w:pStyle w:val="Compact"/>
        <w:numPr>
          <w:ilvl w:val="0"/>
          <w:numId w:val="16"/>
        </w:numPr>
      </w:pPr>
      <w:r>
        <w:t xml:space="preserve">Public‑facing </w:t>
      </w:r>
      <w:r>
        <w:rPr>
          <w:b/>
          <w:bCs/>
        </w:rPr>
        <w:t>AI Disclosure Statement</w:t>
      </w:r>
      <w:r>
        <w:t xml:space="preserve"> summarises key AI systems and safeguards.</w:t>
      </w:r>
    </w:p>
    <w:p w14:paraId="2B1E6C15" w14:textId="77777777" w:rsidR="0095750B" w:rsidRDefault="006F298D">
      <w:pPr>
        <w:pStyle w:val="Compact"/>
        <w:numPr>
          <w:ilvl w:val="0"/>
          <w:numId w:val="16"/>
        </w:numPr>
      </w:pPr>
      <w:r>
        <w:t>Privacy Policy updated to meet OAIC recommendations on automated decisions.</w:t>
      </w:r>
    </w:p>
    <w:p w14:paraId="4925213E" w14:textId="77777777" w:rsidR="0095750B" w:rsidRDefault="00000000">
      <w:r>
        <w:pict w14:anchorId="068F20F2">
          <v:rect id="_x0000_i1034" style="width:0;height:1.5pt" o:hralign="center" o:hrstd="t" o:hr="t"/>
        </w:pict>
      </w:r>
    </w:p>
    <w:p w14:paraId="30792988" w14:textId="77777777" w:rsidR="0095750B" w:rsidRDefault="006F298D">
      <w:pPr>
        <w:pStyle w:val="Heading3"/>
      </w:pPr>
      <w:bookmarkStart w:id="21" w:name="review-audit"/>
      <w:bookmarkEnd w:id="20"/>
      <w:r>
        <w:t>10  Review &amp; Audit</w:t>
      </w:r>
    </w:p>
    <w:p w14:paraId="333B105D" w14:textId="77777777" w:rsidR="0095750B" w:rsidRDefault="006F298D">
      <w:pPr>
        <w:pStyle w:val="Compact"/>
        <w:numPr>
          <w:ilvl w:val="0"/>
          <w:numId w:val="17"/>
        </w:numPr>
      </w:pPr>
      <w:r>
        <w:t xml:space="preserve">Internal audit of AI Registry and high‑risk systems at least </w:t>
      </w:r>
      <w:r>
        <w:rPr>
          <w:b/>
          <w:bCs/>
        </w:rPr>
        <w:t>every 18 months</w:t>
      </w:r>
      <w:r>
        <w:t>.</w:t>
      </w:r>
    </w:p>
    <w:p w14:paraId="7BEF7DF9" w14:textId="77777777" w:rsidR="0095750B" w:rsidRDefault="006F298D">
      <w:pPr>
        <w:pStyle w:val="Compact"/>
        <w:numPr>
          <w:ilvl w:val="0"/>
          <w:numId w:val="17"/>
        </w:numPr>
      </w:pPr>
      <w:r>
        <w:t xml:space="preserve">Policy reviewed </w:t>
      </w:r>
      <w:r>
        <w:rPr>
          <w:b/>
          <w:bCs/>
        </w:rPr>
        <w:t>biennially</w:t>
      </w:r>
      <w:r>
        <w:t xml:space="preserve"> or sooner if regulatory changes require.</w:t>
      </w:r>
    </w:p>
    <w:p w14:paraId="2DC0B085" w14:textId="77777777" w:rsidR="0095750B" w:rsidRDefault="00000000">
      <w:r>
        <w:pict w14:anchorId="3BEF9EE2">
          <v:rect id="_x0000_i1035" style="width:0;height:1.5pt" o:hralign="center" o:hrstd="t" o:hr="t"/>
        </w:pict>
      </w:r>
    </w:p>
    <w:p w14:paraId="5440A9EB" w14:textId="77777777" w:rsidR="0095750B" w:rsidRDefault="006F298D">
      <w:pPr>
        <w:pStyle w:val="Heading3"/>
      </w:pPr>
      <w:bookmarkStart w:id="22" w:name="references-related-documents"/>
      <w:bookmarkEnd w:id="21"/>
      <w:r>
        <w:t>11  References &amp; Related Documents</w:t>
      </w:r>
    </w:p>
    <w:p w14:paraId="4FC380C6" w14:textId="77777777" w:rsidR="0095750B" w:rsidRDefault="006F298D">
      <w:pPr>
        <w:pStyle w:val="Compact"/>
        <w:numPr>
          <w:ilvl w:val="0"/>
          <w:numId w:val="18"/>
        </w:numPr>
      </w:pPr>
      <w:r>
        <w:t>Australian Government AI Ethics Principles (2019)</w:t>
      </w:r>
    </w:p>
    <w:p w14:paraId="1A30150F" w14:textId="77777777" w:rsidR="0095750B" w:rsidRDefault="006F298D">
      <w:pPr>
        <w:pStyle w:val="Compact"/>
        <w:numPr>
          <w:ilvl w:val="0"/>
          <w:numId w:val="18"/>
        </w:numPr>
      </w:pPr>
      <w:r>
        <w:t>Voluntary AI Safety Standard (2024) – 10 Guardrails</w:t>
      </w:r>
    </w:p>
    <w:p w14:paraId="41A48DDB" w14:textId="77777777" w:rsidR="0095750B" w:rsidRDefault="006F298D">
      <w:pPr>
        <w:pStyle w:val="Compact"/>
        <w:numPr>
          <w:ilvl w:val="0"/>
          <w:numId w:val="18"/>
        </w:numPr>
      </w:pPr>
      <w:r>
        <w:rPr>
          <w:i/>
          <w:iCs/>
        </w:rPr>
        <w:t>Privacy Act 1988</w:t>
      </w:r>
      <w:r>
        <w:t xml:space="preserve"> &amp; OAIC AI/Privacy Guidelines (2024)</w:t>
      </w:r>
    </w:p>
    <w:p w14:paraId="60E2E73E" w14:textId="77777777" w:rsidR="0095750B" w:rsidRDefault="006F298D">
      <w:pPr>
        <w:pStyle w:val="Compact"/>
        <w:numPr>
          <w:ilvl w:val="0"/>
          <w:numId w:val="18"/>
        </w:numPr>
      </w:pPr>
      <w:r>
        <w:t>ISO/IEC 42001:2023</w:t>
      </w:r>
    </w:p>
    <w:p w14:paraId="7BCE29CF" w14:textId="77777777" w:rsidR="0095750B" w:rsidRDefault="006F298D">
      <w:pPr>
        <w:pStyle w:val="Compact"/>
        <w:numPr>
          <w:ilvl w:val="0"/>
          <w:numId w:val="18"/>
        </w:numPr>
      </w:pPr>
      <w:r>
        <w:t>NSW Government AI Ethics Policy (2023)</w:t>
      </w:r>
    </w:p>
    <w:p w14:paraId="2F26E6CE" w14:textId="77777777" w:rsidR="0095750B" w:rsidRDefault="00000000">
      <w:r>
        <w:pict w14:anchorId="72AF1C11">
          <v:rect id="_x0000_i1036" style="width:0;height:1.5pt" o:hralign="center" o:hrstd="t" o:hr="t"/>
        </w:pict>
      </w:r>
    </w:p>
    <w:p w14:paraId="02714960" w14:textId="77777777" w:rsidR="0095750B" w:rsidRDefault="006F298D">
      <w:pPr>
        <w:pStyle w:val="Heading3"/>
      </w:pPr>
      <w:bookmarkStart w:id="23" w:name="document-control"/>
      <w:bookmarkEnd w:id="22"/>
      <w:r>
        <w:t>12  Document Control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819"/>
        <w:gridCol w:w="1287"/>
        <w:gridCol w:w="2340"/>
        <w:gridCol w:w="1287"/>
        <w:gridCol w:w="3627"/>
      </w:tblGrid>
      <w:tr w:rsidR="0095750B" w14:paraId="37E61CD7" w14:textId="77777777" w:rsidTr="00957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93" w:type="dxa"/>
          </w:tcPr>
          <w:p w14:paraId="4F18A7DD" w14:textId="77777777" w:rsidR="0095750B" w:rsidRDefault="006F298D">
            <w:pPr>
              <w:pStyle w:val="Compact"/>
            </w:pPr>
            <w:r>
              <w:t>Version</w:t>
            </w:r>
          </w:p>
        </w:tc>
        <w:tc>
          <w:tcPr>
            <w:tcW w:w="1089" w:type="dxa"/>
          </w:tcPr>
          <w:p w14:paraId="7FECA7C5" w14:textId="77777777" w:rsidR="0095750B" w:rsidRDefault="006F298D">
            <w:pPr>
              <w:pStyle w:val="Compact"/>
            </w:pPr>
            <w:r>
              <w:t>Date</w:t>
            </w:r>
          </w:p>
        </w:tc>
        <w:tc>
          <w:tcPr>
            <w:tcW w:w="1980" w:type="dxa"/>
          </w:tcPr>
          <w:p w14:paraId="34ED2348" w14:textId="77777777" w:rsidR="0095750B" w:rsidRDefault="006F298D">
            <w:pPr>
              <w:pStyle w:val="Compact"/>
            </w:pPr>
            <w:r>
              <w:t>Author</w:t>
            </w:r>
          </w:p>
        </w:tc>
        <w:tc>
          <w:tcPr>
            <w:tcW w:w="1089" w:type="dxa"/>
          </w:tcPr>
          <w:p w14:paraId="086F5E98" w14:textId="77777777" w:rsidR="0095750B" w:rsidRDefault="006F298D">
            <w:pPr>
              <w:pStyle w:val="Compact"/>
            </w:pPr>
            <w:r>
              <w:t>Approved By</w:t>
            </w:r>
          </w:p>
        </w:tc>
        <w:tc>
          <w:tcPr>
            <w:tcW w:w="3069" w:type="dxa"/>
          </w:tcPr>
          <w:p w14:paraId="338CB41A" w14:textId="77777777" w:rsidR="0095750B" w:rsidRDefault="006F298D">
            <w:pPr>
              <w:pStyle w:val="Compact"/>
            </w:pPr>
            <w:r>
              <w:t>Notes</w:t>
            </w:r>
          </w:p>
        </w:tc>
      </w:tr>
      <w:tr w:rsidR="0095750B" w14:paraId="45EC3D17" w14:textId="77777777">
        <w:tc>
          <w:tcPr>
            <w:tcW w:w="693" w:type="dxa"/>
          </w:tcPr>
          <w:p w14:paraId="11ED4451" w14:textId="34EC0652" w:rsidR="0095750B" w:rsidRDefault="006F298D">
            <w:pPr>
              <w:pStyle w:val="Compact"/>
            </w:pPr>
            <w:r>
              <w:t>0.</w:t>
            </w:r>
            <w:r w:rsidR="002A76AF">
              <w:t>0</w:t>
            </w:r>
          </w:p>
        </w:tc>
        <w:tc>
          <w:tcPr>
            <w:tcW w:w="1089" w:type="dxa"/>
          </w:tcPr>
          <w:p w14:paraId="56629398" w14:textId="5DBB39F3" w:rsidR="0095750B" w:rsidRDefault="0095750B">
            <w:pPr>
              <w:pStyle w:val="Compact"/>
            </w:pPr>
          </w:p>
        </w:tc>
        <w:tc>
          <w:tcPr>
            <w:tcW w:w="1980" w:type="dxa"/>
          </w:tcPr>
          <w:p w14:paraId="1EC50297" w14:textId="707AD335" w:rsidR="0095750B" w:rsidRDefault="0095750B">
            <w:pPr>
              <w:pStyle w:val="Compact"/>
            </w:pPr>
          </w:p>
        </w:tc>
        <w:tc>
          <w:tcPr>
            <w:tcW w:w="1089" w:type="dxa"/>
          </w:tcPr>
          <w:p w14:paraId="07012291" w14:textId="77777777" w:rsidR="0095750B" w:rsidRDefault="006F298D">
            <w:pPr>
              <w:pStyle w:val="Compact"/>
            </w:pPr>
            <w:r>
              <w:t>–</w:t>
            </w:r>
          </w:p>
        </w:tc>
        <w:tc>
          <w:tcPr>
            <w:tcW w:w="3069" w:type="dxa"/>
          </w:tcPr>
          <w:p w14:paraId="5197C1A2" w14:textId="33058786" w:rsidR="0095750B" w:rsidRDefault="0095750B">
            <w:pPr>
              <w:pStyle w:val="Compact"/>
            </w:pPr>
          </w:p>
        </w:tc>
      </w:tr>
    </w:tbl>
    <w:p w14:paraId="12F08203" w14:textId="77777777" w:rsidR="0095750B" w:rsidRDefault="00000000">
      <w:r>
        <w:pict w14:anchorId="42D49B75">
          <v:rect id="_x0000_i1037" style="width:0;height:1.5pt" o:hralign="center" o:hrstd="t" o:hr="t"/>
        </w:pict>
      </w:r>
    </w:p>
    <w:p w14:paraId="2FB85AB9" w14:textId="77777777" w:rsidR="0095750B" w:rsidRDefault="006F298D">
      <w:pPr>
        <w:pStyle w:val="Heading3"/>
      </w:pPr>
      <w:bookmarkStart w:id="24" w:name="appendices"/>
      <w:bookmarkEnd w:id="23"/>
      <w:r>
        <w:lastRenderedPageBreak/>
        <w:t>Appendices</w:t>
      </w:r>
    </w:p>
    <w:p w14:paraId="4E7D366F" w14:textId="77777777" w:rsidR="0095750B" w:rsidRDefault="006F298D">
      <w:pPr>
        <w:pStyle w:val="FirstParagraph"/>
      </w:pPr>
      <w:r>
        <w:rPr>
          <w:b/>
          <w:bCs/>
        </w:rPr>
        <w:t>Appendix A – AI Use‑Case Proposal Form</w:t>
      </w:r>
      <w:r>
        <w:br/>
      </w:r>
      <w:r>
        <w:rPr>
          <w:i/>
          <w:iCs/>
        </w:rPr>
        <w:t>Project title, Sponsor, Problem Statement, Expected Value, Stakeholders, Data Sources, Risk Tier, KPI, Resources, Employee Representatives.</w:t>
      </w:r>
    </w:p>
    <w:p w14:paraId="349E2840" w14:textId="77777777" w:rsidR="0095750B" w:rsidRDefault="006F298D">
      <w:pPr>
        <w:pStyle w:val="BodyText"/>
      </w:pPr>
      <w:r>
        <w:rPr>
          <w:b/>
          <w:bCs/>
        </w:rPr>
        <w:t>Appendix B – AI Risk &amp; Ethics Assessment Checklist</w:t>
      </w:r>
      <w:r>
        <w:br/>
      </w:r>
      <w:r>
        <w:rPr>
          <w:i/>
          <w:iCs/>
        </w:rPr>
        <w:t>Risk Tiering, AIA Summary, Bias Testing Results, Privacy Impact, Security Controls, Human Oversight Plan, Compliance Yes/No.</w:t>
      </w:r>
    </w:p>
    <w:p w14:paraId="327AF69E" w14:textId="77777777" w:rsidR="0095750B" w:rsidRDefault="006F298D">
      <w:pPr>
        <w:pStyle w:val="BodyText"/>
      </w:pPr>
      <w:r>
        <w:rPr>
          <w:b/>
          <w:bCs/>
        </w:rPr>
        <w:t>Appendix C – Stakeholder Communication Template</w:t>
      </w:r>
      <w:r>
        <w:br/>
      </w:r>
      <w:r>
        <w:rPr>
          <w:i/>
          <w:iCs/>
        </w:rPr>
        <w:t>Plain‑language explanation of AI system, benefits, any impact on roles, contact for questions.</w:t>
      </w:r>
    </w:p>
    <w:p w14:paraId="3253DD4C" w14:textId="77777777" w:rsidR="0095750B" w:rsidRDefault="00000000">
      <w:r>
        <w:pict w14:anchorId="715CA4E7">
          <v:rect id="_x0000_i1038" style="width:0;height:1.5pt" o:hralign="center" o:hrstd="t" o:hr="t"/>
        </w:pict>
      </w:r>
    </w:p>
    <w:p w14:paraId="565D748A" w14:textId="46A79786" w:rsidR="0095750B" w:rsidRDefault="00723380">
      <w:pPr>
        <w:pStyle w:val="FirstParagraph"/>
      </w:pPr>
      <w:r>
        <w:rPr>
          <w:i/>
          <w:iCs/>
        </w:rPr>
        <w:t>This template is for guidance only</w:t>
      </w:r>
      <w:r w:rsidR="00843015">
        <w:rPr>
          <w:i/>
          <w:iCs/>
        </w:rPr>
        <w:t xml:space="preserve">, it is the sole responsibility of the </w:t>
      </w:r>
      <w:r w:rsidR="00557FB7">
        <w:rPr>
          <w:i/>
          <w:iCs/>
        </w:rPr>
        <w:t xml:space="preserve">end </w:t>
      </w:r>
      <w:r w:rsidR="00843015">
        <w:rPr>
          <w:i/>
          <w:iCs/>
        </w:rPr>
        <w:t>user to modify</w:t>
      </w:r>
      <w:r w:rsidR="00557FB7">
        <w:rPr>
          <w:i/>
          <w:iCs/>
        </w:rPr>
        <w:t xml:space="preserve"> and adjust</w:t>
      </w:r>
      <w:r w:rsidR="00843015">
        <w:rPr>
          <w:i/>
          <w:iCs/>
        </w:rPr>
        <w:t xml:space="preserve"> for their own business </w:t>
      </w:r>
      <w:r w:rsidR="00557FB7">
        <w:rPr>
          <w:i/>
          <w:iCs/>
        </w:rPr>
        <w:t>requirements</w:t>
      </w:r>
      <w:r w:rsidR="002203CB">
        <w:rPr>
          <w:i/>
          <w:iCs/>
        </w:rPr>
        <w:t>,</w:t>
      </w:r>
      <w:r w:rsidR="00843015">
        <w:rPr>
          <w:i/>
          <w:iCs/>
        </w:rPr>
        <w:t xml:space="preserve"> and </w:t>
      </w:r>
      <w:r w:rsidR="002203CB">
        <w:rPr>
          <w:i/>
          <w:iCs/>
        </w:rPr>
        <w:t xml:space="preserve">to </w:t>
      </w:r>
      <w:r w:rsidR="00843015">
        <w:rPr>
          <w:i/>
          <w:iCs/>
        </w:rPr>
        <w:t xml:space="preserve">ensure </w:t>
      </w:r>
      <w:r w:rsidR="008114D2">
        <w:rPr>
          <w:i/>
          <w:iCs/>
        </w:rPr>
        <w:t>it complies with all legal business requirements, under which the company operates.</w:t>
      </w:r>
      <w:bookmarkEnd w:id="0"/>
      <w:bookmarkEnd w:id="1"/>
      <w:bookmarkEnd w:id="24"/>
    </w:p>
    <w:sectPr w:rsidR="0095750B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E880372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AE708E7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62248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91451813">
    <w:abstractNumId w:val="0"/>
  </w:num>
  <w:num w:numId="2" w16cid:durableId="1968121499">
    <w:abstractNumId w:val="1"/>
  </w:num>
  <w:num w:numId="3" w16cid:durableId="1309897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79461">
    <w:abstractNumId w:val="1"/>
  </w:num>
  <w:num w:numId="5" w16cid:durableId="1033116246">
    <w:abstractNumId w:val="1"/>
  </w:num>
  <w:num w:numId="6" w16cid:durableId="994340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3956018">
    <w:abstractNumId w:val="1"/>
  </w:num>
  <w:num w:numId="8" w16cid:durableId="305667053">
    <w:abstractNumId w:val="1"/>
  </w:num>
  <w:num w:numId="9" w16cid:durableId="1497957540">
    <w:abstractNumId w:val="1"/>
  </w:num>
  <w:num w:numId="10" w16cid:durableId="1020738845">
    <w:abstractNumId w:val="1"/>
  </w:num>
  <w:num w:numId="11" w16cid:durableId="1833254481">
    <w:abstractNumId w:val="1"/>
  </w:num>
  <w:num w:numId="12" w16cid:durableId="1923953222">
    <w:abstractNumId w:val="1"/>
  </w:num>
  <w:num w:numId="13" w16cid:durableId="107892927">
    <w:abstractNumId w:val="1"/>
  </w:num>
  <w:num w:numId="14" w16cid:durableId="239214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294957">
    <w:abstractNumId w:val="1"/>
  </w:num>
  <w:num w:numId="16" w16cid:durableId="542599486">
    <w:abstractNumId w:val="1"/>
  </w:num>
  <w:num w:numId="17" w16cid:durableId="213547854">
    <w:abstractNumId w:val="1"/>
  </w:num>
  <w:num w:numId="18" w16cid:durableId="7120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0B"/>
    <w:rsid w:val="002203CB"/>
    <w:rsid w:val="002A76AF"/>
    <w:rsid w:val="003C4583"/>
    <w:rsid w:val="00557FB7"/>
    <w:rsid w:val="006F298D"/>
    <w:rsid w:val="00723380"/>
    <w:rsid w:val="007C4213"/>
    <w:rsid w:val="008114D2"/>
    <w:rsid w:val="00843015"/>
    <w:rsid w:val="0095750B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70A9"/>
  <w15:docId w15:val="{D9E616F3-ADC2-412A-A215-009B2B94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Clements</dc:creator>
  <cp:keywords/>
  <cp:lastModifiedBy>James Clements</cp:lastModifiedBy>
  <cp:revision>8</cp:revision>
  <dcterms:created xsi:type="dcterms:W3CDTF">2025-06-15T07:16:00Z</dcterms:created>
  <dcterms:modified xsi:type="dcterms:W3CDTF">2025-06-15T07:20:00Z</dcterms:modified>
</cp:coreProperties>
</file>