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6CBB" w14:textId="5E3C528C" w:rsidR="00E80A61" w:rsidRPr="00E80A61" w:rsidRDefault="00E80A61" w:rsidP="00E80A61">
      <w:pPr>
        <w:spacing w:before="100" w:beforeAutospacing="1" w:after="100" w:afterAutospacing="1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 xml:space="preserve"> Aksi</w:t>
      </w:r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>Akselerasi</w:t>
      </w:r>
      <w:proofErr w:type="spellEnd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>Pengarusutamaan</w:t>
      </w:r>
      <w:proofErr w:type="spellEnd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 xml:space="preserve"> Gender (PUG) </w:t>
      </w:r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>0leh</w:t>
      </w:r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color w:val="501549" w:themeColor="accent5" w:themeShade="80"/>
          <w:kern w:val="36"/>
          <w:sz w:val="48"/>
          <w:szCs w:val="48"/>
          <w:lang w:eastAsia="en-ID"/>
          <w14:ligatures w14:val="none"/>
        </w:rPr>
        <w:t>Bengkayang</w:t>
      </w:r>
      <w:proofErr w:type="spellEnd"/>
    </w:p>
    <w:p w14:paraId="521B25BD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Bab 1: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Dekonstruksi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Kerangka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Sektor Perindustrian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Perdagangan</w:t>
      </w:r>
      <w:proofErr w:type="spellEnd"/>
    </w:p>
    <w:p w14:paraId="76839B66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1.1.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Memahami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Logika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Anugrah Parahita Ekapraya (APE)</w:t>
      </w:r>
    </w:p>
    <w:p w14:paraId="31ED8CCB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Anugrah Parahita Ekapraya (APE)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merupakan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penghargaan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diberikan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apresiasi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komitmen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Pengarusutamaan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(PUG)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pembangunan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meraih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pemahaman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filosofi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krusial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bukanlah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sekadar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pemenuhan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daftar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periksa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administratif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melainkan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komprehensif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berjalannya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suatu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kelola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pemerintahan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terintegrasi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 mana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perspektif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integral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siklus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pembangunan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013F2197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Proses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dirancang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multi-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memverifikasi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klaim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dampak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faktual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meliputi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  </w:t>
      </w:r>
    </w:p>
    <w:p w14:paraId="6DF84929" w14:textId="77777777" w:rsidR="00E80A61" w:rsidRPr="00E80A61" w:rsidRDefault="00E80A61" w:rsidP="00E80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Mandiri: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awal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mana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pemerintah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termasuk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Perangkat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Daerah (PD)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berdasarkan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instrumen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ditetapkan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fase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pengumpulan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relevan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fondasi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91BA9A5" w14:textId="77777777" w:rsidR="00E80A61" w:rsidRPr="00E80A61" w:rsidRDefault="00E80A61" w:rsidP="00E80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Verifikasi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Administrasi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Tim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Kementerian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Pemberdayaan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Perempuan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Perlindungan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Anak (Kemen PPPA)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memeriksa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kelengkapan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validitas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diserahkan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klaim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formulir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resmi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foto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hukum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65481F24" w14:textId="77777777" w:rsidR="00E80A61" w:rsidRPr="00E80A61" w:rsidRDefault="00E80A61" w:rsidP="00E80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Verifikasi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Lapangan: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Tim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kunjungan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sampling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memvalidasi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diserahkan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Wawancara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pemangku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kepentingan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observasi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pemeriksaan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fasilitas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kesesuaian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antara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nyata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1ADFA01E" w14:textId="77777777" w:rsidR="00E80A61" w:rsidRPr="00E80A61" w:rsidRDefault="00E80A61" w:rsidP="00E80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Verifikasi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Akhir: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Penetapan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kategori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penghargaan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(Pratama, Madya, Utama, Mentor)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berdasarkan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akumulasi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hasil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verifikasi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00E51EE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memahami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mengadopsi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pikir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sejak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awal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inisiatif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program,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diimplementasikan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direncanakan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diverifikasi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Keberhasilan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ditentukan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pengisian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formulir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melainkan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dibangun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serangkaian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tindakan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nyata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terdokumentasi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sepanjang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069BF53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lastRenderedPageBreak/>
        <w:t xml:space="preserve">1.2.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Mendalam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7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Prasyarat PUG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Relevansinya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DISPERINDAG</w:t>
      </w:r>
    </w:p>
    <w:p w14:paraId="43DD9EE8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membangun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yang solid,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tujuh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prasyarat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dipenuhi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Indikator-indikator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fondasi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dinilai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relevansi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langsung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tugas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DISPERINDAG.   </w:t>
      </w:r>
    </w:p>
    <w:p w14:paraId="2825F643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Komitmen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menuntut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Peraturan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Daerah)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landasan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hukum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PUG. Bagi DISPERINDAG,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komitmen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diturunkan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Surat Keputusan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Dinas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pedoman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eksplisit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menyatakan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dukungan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sektor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perindustrian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perdagangan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536522DC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Teknis &amp; Program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Gender: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domain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berfokus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apakah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Renstra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Kerja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mengintegrasikan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menghasilkan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spesifik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menyasar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isu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kesenjangan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bidang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ekonomi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pemberdayaan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wirausaha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revitalisasi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69F72670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Kelembagaan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PUG: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Struktur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organisasi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diwujudkan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pembentukan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yaitu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pejabat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khusus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ditugaskan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mengoordinasikan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memantau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melaporkan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lingkungan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 DISPERINDAG.   </w:t>
      </w:r>
    </w:p>
    <w:p w14:paraId="498A92B2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Sumber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Daya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Manusia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(SDM) &amp;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Formulir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rinci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meminta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terlatih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level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pelaksana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maupun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monitoring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Selain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alokasi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(ARG)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dipertanggungjawabkan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  </w:t>
      </w:r>
    </w:p>
    <w:p w14:paraId="642A81BE" w14:textId="77777777" w:rsidR="00E80A61" w:rsidRPr="00E80A61" w:rsidRDefault="00E80A61" w:rsidP="00E80A61">
      <w:pPr>
        <w:spacing w:before="100" w:beforeAutospacing="1" w:after="100" w:afterAutospacing="1" w:line="240" w:lineRule="auto"/>
        <w:ind w:left="720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Gender Budget Statement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(GBS)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konkret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komitmen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4DC03003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Data,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Informasi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&amp; KIE: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Ketersediaan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menurut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jenis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kelamin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prasyarat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mutlak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mampu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menyajikan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mengenai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IKM/UMKM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laki-laki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partisipan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penerima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manfaat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lainnya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60FEC2B2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Informasi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&amp; Metode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Pelaksanaan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menuntut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yaitu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Gender Analysis Pathway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(GAP)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alat-alat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program-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programnya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28801E2D" w14:textId="77777777" w:rsidR="00E80A61" w:rsidRPr="00E80A61" w:rsidRDefault="00E80A61" w:rsidP="00E80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Peranserta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Masyarakat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Jejaring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sejauh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mana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pemerintah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berkolaborasi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pemangku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kepentingan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Bagi DISPERINDAG,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berarti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membangun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kemitraan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formal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terdokumentasi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"Dunia Usaha"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CSR) dan "Lembaga Masyarakat"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asosiasi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IWAPI) dan dewan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kerajinan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(DEKRANASDA).   </w:t>
      </w:r>
    </w:p>
    <w:p w14:paraId="56127352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lastRenderedPageBreak/>
        <w:t xml:space="preserve">1.3.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Identifikasi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Area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Prioritas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: </w:t>
      </w:r>
      <w:r w:rsidRPr="00E80A61">
        <w:rPr>
          <w:rFonts w:ascii="Myriad Pro" w:eastAsia="Times New Roman" w:hAnsi="Myriad Pro" w:cs="Times New Roman"/>
          <w:b/>
          <w:bCs/>
          <w:i/>
          <w:iCs/>
          <w:kern w:val="0"/>
          <w:sz w:val="27"/>
          <w:szCs w:val="27"/>
          <w:lang w:eastAsia="en-ID"/>
          <w14:ligatures w14:val="none"/>
        </w:rPr>
        <w:t>Quick Wins</w:t>
      </w: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Jangka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Panjang</w:t>
      </w:r>
    </w:p>
    <w:p w14:paraId="1CDEFBDD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mencapai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akselerasi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perlu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memetakan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dua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kategori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quick wins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kemenangan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cepat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segera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diimplementasikan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kemajuan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signifikan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jangka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panjang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bersifat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keberlanjutan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3171166B" w14:textId="77777777" w:rsidR="00E80A61" w:rsidRPr="00E80A61" w:rsidRDefault="00E80A61" w:rsidP="00E80A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i/>
          <w:iCs/>
          <w:kern w:val="0"/>
          <w:lang w:eastAsia="en-ID"/>
          <w14:ligatures w14:val="none"/>
        </w:rPr>
        <w:t>Quick Wins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:</w:t>
      </w:r>
    </w:p>
    <w:p w14:paraId="5A75C523" w14:textId="77777777" w:rsidR="00E80A61" w:rsidRPr="00E80A61" w:rsidRDefault="00E80A61" w:rsidP="00E80A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Memformalkan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kemitraan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sudah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DEKRANASDA dan IWAPI)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Nota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Kesepahaman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(MoU)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7318A761" w14:textId="77777777" w:rsidR="00E80A61" w:rsidRPr="00E80A61" w:rsidRDefault="00E80A61" w:rsidP="00E80A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Merevisi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formulir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pendataan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IKM/UMKM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menambahkan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kolom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wajib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"Jenis Kelamin" dan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lainnya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3DA2203" w14:textId="77777777" w:rsidR="00E80A61" w:rsidRPr="00E80A61" w:rsidRDefault="00E80A61" w:rsidP="00E80A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Mengadakan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sosialisasi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dasar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DISPERINDAG.</w:t>
      </w:r>
    </w:p>
    <w:p w14:paraId="3257849D" w14:textId="77777777" w:rsidR="00E80A61" w:rsidRPr="00E80A61" w:rsidRDefault="00E80A61" w:rsidP="00E80A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Jangka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Panjang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:</w:t>
      </w:r>
    </w:p>
    <w:p w14:paraId="6287455D" w14:textId="77777777" w:rsidR="00E80A61" w:rsidRPr="00E80A61" w:rsidRDefault="00E80A61" w:rsidP="00E80A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(PPRG)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dan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semua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unggulan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7A7CE1D0" w14:textId="77777777" w:rsidR="00E80A61" w:rsidRPr="00E80A61" w:rsidRDefault="00E80A61" w:rsidP="00E80A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Mengembangkan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kurikulum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kewirausahaan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berjenjang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berkelanjutan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</w:t>
      </w:r>
    </w:p>
    <w:p w14:paraId="23EFF162" w14:textId="77777777" w:rsidR="00E80A61" w:rsidRPr="00E80A61" w:rsidRDefault="00E80A61" w:rsidP="00E80A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revitalisasi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rakyat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mengintegrasikan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Nasional Indonesia (SNI)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perspektif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</w:t>
      </w:r>
    </w:p>
    <w:p w14:paraId="470C0A27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Kerangka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hakikatnya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cetak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biru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kelola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Keberhasilan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luar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biasa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melainkan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kemampuan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siklus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utuh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Adanya SDM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terlatih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(Prasyarat 4)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memungkinkan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dan GBS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berkualitas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(Prasyarat 6).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kemudian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dasar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justifikasi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(ARG)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disetujui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melaksanakan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dirancang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Pelaksanaan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yang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gilirannya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menghasilkan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(Prasyarat 5)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proses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pemantauan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Hasil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umpan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balik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siklus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berikutnya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demikian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strategi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bersifat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holistik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elemen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saling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terhubung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dibuktikan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33EE53EF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Bab 2: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Penguatan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Fondasi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Kelembagaan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PUG di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Lingkungan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Internal DISPERINDAG</w:t>
      </w:r>
    </w:p>
    <w:p w14:paraId="5916C287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2.1.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SDM: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Menjawab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Kebutuhan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Kunci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APE</w:t>
      </w:r>
    </w:p>
    <w:p w14:paraId="5931928D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Salah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bobot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signifikan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ketersediaan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terlatih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Tanpa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aparatur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pemahaman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keterampilan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memadai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formalitas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Oleh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karena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investasi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merupakan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langkah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mendesak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5DD01F6F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lastRenderedPageBreak/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Aksi:</w:t>
      </w:r>
    </w:p>
    <w:p w14:paraId="1452DAF7" w14:textId="77777777" w:rsidR="00E80A61" w:rsidRPr="00E80A61" w:rsidRDefault="00E80A61" w:rsidP="00E80A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Audit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Kompetensi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PUG Internal: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pemetaan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kompetensi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kategori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diminta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formulir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APE: SDM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, SDM Teknis/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Pelaksana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Audit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mengidentifikasi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kesenjangan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kompetensi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dasar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terarah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49A6EFF3" w14:textId="77777777" w:rsidR="00E80A61" w:rsidRPr="00E80A61" w:rsidRDefault="00E80A61" w:rsidP="00E80A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Menyusun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Pelatihan Multi-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Tahun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Berdasarkan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hasil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audit,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susunlah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3-5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Targetkan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minimum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kategori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fungsional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mendapatkan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PUG. Materi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konsep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dasar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GBS,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metode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monitoring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</w:t>
      </w:r>
    </w:p>
    <w:p w14:paraId="24501C4A" w14:textId="77777777" w:rsidR="00E80A61" w:rsidRPr="00E80A61" w:rsidRDefault="00E80A61" w:rsidP="00E80A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Menciptakan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Fasilitator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Bersertifikat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Identifikasi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beberapa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potensial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mengikuti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fasilitator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diselenggarakan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Kemen PPPA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lembaga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mitra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diakui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Keberadaan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fasilitator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bersertifikat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merupakan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karena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kelembagaan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internalisasi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mandiri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berkelanjutan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305A02A6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2.2.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Optimalisasi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Peran </w:t>
      </w:r>
      <w:r w:rsidRPr="00E80A61">
        <w:rPr>
          <w:rFonts w:ascii="Myriad Pro" w:eastAsia="Times New Roman" w:hAnsi="Myriad Pro" w:cs="Times New Roman"/>
          <w:b/>
          <w:bCs/>
          <w:i/>
          <w:iCs/>
          <w:kern w:val="0"/>
          <w:sz w:val="27"/>
          <w:szCs w:val="27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PUG DISPERINDAG</w:t>
      </w:r>
    </w:p>
    <w:p w14:paraId="082463E3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efektif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memerlukan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motor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penggerak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Peran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diemban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PUG,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pusat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koordinasi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sumber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dinamisator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lingkungan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Tanpa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  </w:t>
      </w:r>
    </w:p>
    <w:p w14:paraId="7718BD2D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inisiatif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berjalan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parsial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terkoordinasi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0B1E4CA7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Aksi:</w:t>
      </w:r>
    </w:p>
    <w:p w14:paraId="246F6C53" w14:textId="77777777" w:rsidR="00E80A61" w:rsidRPr="00E80A61" w:rsidRDefault="00E80A61" w:rsidP="00E80A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Formalisasi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b/>
          <w:bCs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SK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Dinas: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Segera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terbitkan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Surat Keputusan (SK)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Dinas Perindustrian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Perdagangan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tentang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Pembentukan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Tim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PUG. SK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mencantumkan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nama-nama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anggota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idealnya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berasal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bidang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industri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perdagangan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pasar)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representasi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kemudahan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koordinasi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19B74D5" w14:textId="77777777" w:rsidR="00E80A61" w:rsidRPr="00E80A61" w:rsidRDefault="00E80A61" w:rsidP="00E80A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Uraian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Tugas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yang Jelas (TOR):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Lampirkan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Terms of Reference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(TOR)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Uraian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Tugas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jelas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SK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tersebut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Tugas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:</w:t>
      </w:r>
    </w:p>
    <w:p w14:paraId="23DDF090" w14:textId="77777777" w:rsidR="00E80A61" w:rsidRPr="00E80A61" w:rsidRDefault="00E80A61" w:rsidP="00E80A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Mengoordinasikan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dan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program-program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4628E58" w14:textId="77777777" w:rsidR="00E80A61" w:rsidRPr="00E80A61" w:rsidRDefault="00E80A61" w:rsidP="00E80A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Mengumpulkan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mengolah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menyajikan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bidang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3FB8B21" w14:textId="77777777" w:rsidR="00E80A61" w:rsidRPr="00E80A61" w:rsidRDefault="00E80A61" w:rsidP="00E80A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narahubung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antara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Kelompok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Pokja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04153D92" w14:textId="77777777" w:rsidR="00E80A61" w:rsidRPr="00E80A61" w:rsidRDefault="00E80A61" w:rsidP="00E80A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Menyusun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triwulanan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semesteran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disampaikan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Dinas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Pokja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3DE7AF94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lastRenderedPageBreak/>
        <w:t xml:space="preserve">2.3.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Sinkronisasi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RAD PUG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Kabupaten</w:t>
      </w:r>
      <w:proofErr w:type="spellEnd"/>
    </w:p>
    <w:p w14:paraId="7C479AAD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komitmen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terintegrasi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hingga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perangkat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selaras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Aksi Daerah (RAD)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"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menghubungkan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makro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mikro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6205DDD9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Aksi:</w:t>
      </w:r>
    </w:p>
    <w:p w14:paraId="161CC98B" w14:textId="77777777" w:rsidR="00E80A61" w:rsidRPr="00E80A61" w:rsidRDefault="00E80A61" w:rsidP="00E80A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Adopsi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Eksplisit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Renstra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Renja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eksplisit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rujuk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kutip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pasal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relevan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RAD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Renstra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pendahuluan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isu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arah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96C88B3" w14:textId="77777777" w:rsidR="00E80A61" w:rsidRPr="00E80A61" w:rsidRDefault="00E80A61" w:rsidP="00E80A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Pemetaan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RAD: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Buat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matriks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pemetaan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bagaimana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diusulkan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langsung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menjawab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tercantum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RAD PUG,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khususnya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berkaitan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pemberdayaan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ekonomi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Matriks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sangat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verifikasi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administrasi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03C52581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Bab 3: Panduan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Gender (PPRG)</w:t>
      </w:r>
    </w:p>
    <w:p w14:paraId="3D3C7D9C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3.1.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Aplikasi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b/>
          <w:bCs/>
          <w:i/>
          <w:iCs/>
          <w:kern w:val="0"/>
          <w:sz w:val="27"/>
          <w:szCs w:val="27"/>
          <w:lang w:eastAsia="en-ID"/>
          <w14:ligatures w14:val="none"/>
        </w:rPr>
        <w:t>Gender Analysis Pathway</w:t>
      </w: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(GAP)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Program DISPERINDAG</w:t>
      </w:r>
    </w:p>
    <w:p w14:paraId="54ABA8E8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Gender Analysis Pathway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(GAP)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wajib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bahwa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program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dirancang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mempertimbangkan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kebutuhan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permasalahan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aspirasi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berbeda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antara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laki-laki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konkret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 Proses GAP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terdiri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sembilan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langkah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memandu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mulai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identifikasi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masalah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hingga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perumusan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keberhasilan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 Langkah-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langkah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kelompok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tertinggal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587BA0F3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3.2.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b/>
          <w:bCs/>
          <w:i/>
          <w:iCs/>
          <w:kern w:val="0"/>
          <w:sz w:val="27"/>
          <w:szCs w:val="27"/>
          <w:lang w:eastAsia="en-ID"/>
          <w14:ligatures w14:val="none"/>
        </w:rPr>
        <w:t>Gender Budget Statement</w:t>
      </w: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(GBS) yang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Akuntabel</w:t>
      </w:r>
      <w:proofErr w:type="spellEnd"/>
    </w:p>
    <w:p w14:paraId="19DA6DDC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Gender Budget Statement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(GBS)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pertanggungjawaban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menerjemahkan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hasil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format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bukanlah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terpisah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melainkan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pernyataan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menjelaskan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bagaimana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alokasi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suatu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berkontribusi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kesenjangan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diidentifikasi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justifikasi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(ARG)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merupakan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lampiran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wajib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pemerintah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bahwa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rupiah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dialokasikan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tujuan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jelas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6BB553C1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lastRenderedPageBreak/>
        <w:t xml:space="preserve">3.3. Studi Kasus Terapan: Menyusun GAP dan GBS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Program "IKM Perempuan Naik Kelas"</w:t>
      </w:r>
    </w:p>
    <w:p w14:paraId="265B1437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memberikan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panduan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berikut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disajikan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pengisian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dan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hipotetis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Daya Saing IKM Perempuan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Digitalisasi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(IKM Perempuan Naik Kelas)".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dijadikan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templat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para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DISPERINDAG.</w:t>
      </w:r>
    </w:p>
    <w:p w14:paraId="0F235AA0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Tabel 3.1: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Aplikasi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GAP dan GBS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Program "IKM Perempuan Naik Kelas"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5436"/>
      </w:tblGrid>
      <w:tr w:rsidR="00E80A61" w:rsidRPr="00E80A61" w14:paraId="12EB13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585B07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Langkah GAP</w:t>
            </w:r>
          </w:p>
        </w:tc>
        <w:tc>
          <w:tcPr>
            <w:tcW w:w="0" w:type="auto"/>
            <w:vAlign w:val="center"/>
            <w:hideMark/>
          </w:tcPr>
          <w:p w14:paraId="0AA91082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Analisis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/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Jawaban</w:t>
            </w:r>
            <w:proofErr w:type="spellEnd"/>
          </w:p>
        </w:tc>
      </w:tr>
      <w:tr w:rsidR="00E80A61" w:rsidRPr="00E80A61" w14:paraId="3BAF9D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64D3D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Tahap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I: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Analisis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Kebijakan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Responsif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Gender</w:t>
            </w:r>
          </w:p>
        </w:tc>
        <w:tc>
          <w:tcPr>
            <w:tcW w:w="0" w:type="auto"/>
            <w:vAlign w:val="center"/>
            <w:hideMark/>
          </w:tcPr>
          <w:p w14:paraId="0CDDFFEB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</w:p>
        </w:tc>
      </w:tr>
      <w:tr w:rsidR="00E80A61" w:rsidRPr="00E80A61" w14:paraId="64B01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1B4DD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Kebijakan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/Program/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Dianalisis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F456BB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Program: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Peningkatan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Daya Saing IKM.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Pemasaran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Legalitas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Usaha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IKM. </w:t>
            </w: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Tujuan: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Meningkatkan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omzet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jangkauan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pasar IKM di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Kabupaten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Bengkayang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4BA7D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6B9DF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2.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Sajikan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Data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Terpilah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D579A0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Data BPS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Bengkayang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2024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menunjukkan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68%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pelaku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adalah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Namun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data internal DISPERINDAG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menunjukkan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85%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dari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masih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berada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skala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mikro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omzet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&lt; Rp10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/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bulan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 dan 90%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belum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memiliki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NIB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Halal. Hanya 15%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pemilik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aktif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menggunakan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lang w:eastAsia="en-ID"/>
                <w14:ligatures w14:val="none"/>
              </w:rPr>
              <w:t>marketplace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pemasaran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3600F9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9ED5F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3.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Identifikasi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Kesenjangan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Gender (AKPM)</w:t>
            </w:r>
          </w:p>
        </w:tc>
        <w:tc>
          <w:tcPr>
            <w:tcW w:w="0" w:type="auto"/>
            <w:vAlign w:val="center"/>
            <w:hideMark/>
          </w:tcPr>
          <w:p w14:paraId="4953FC40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Akses: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Perempuan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memiliki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akses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lebih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rendah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terhadap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 marketing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informasi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mengenai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prosedur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legalitas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Partisipasi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Partisipasi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pameran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dagang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tingkat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provinsi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lebih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rendah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(20%)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dibandingkan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laki-laki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(80%)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karena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keterbatasan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mobilitas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beban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domestik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Kontrol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Keputusan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strategis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bisnis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misalnya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mengambil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pinjaman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modal)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seringkali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masih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memerlukan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persetujuan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suami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Manfaat: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Manfaat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dari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pertumbuhan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ekonomi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belum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dinikmati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secara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merata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oleh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pelaku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71ADD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3217E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4.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Identifikasi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Penyebab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Internal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Kesenjangan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8B53F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Kurikulum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ada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bersifat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umum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belum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spesifik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menjawab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kendala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dihadapi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misalnya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manajemen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waktu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antara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rumah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tangga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). Jadwal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seringkali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tidak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fleksibel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(jam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kerja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kantor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Kurangnya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petugas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pendamping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lapangan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47D9AE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BCC11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5.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Identifikasi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Penyebab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Eksternal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Kesenjangan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A07C9F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Norma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sosial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menempatkan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sebagai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penanggung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jawab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utama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urusan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domestik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membatasi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waktu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pengembangan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lastRenderedPageBreak/>
              <w:t>Stereotip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bahwa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teknologi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adalah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domain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laki-laki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Akses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terhadap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gawai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internet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masih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terbatas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sebagian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perdesaan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1CF17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5CDE4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lastRenderedPageBreak/>
              <w:t>Tahap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II: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Formulasi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Kebijakan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Rencana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Aksi Masa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Depan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B85714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</w:p>
        </w:tc>
      </w:tr>
      <w:tr w:rsidR="00E80A61" w:rsidRPr="00E80A61" w14:paraId="18D171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47171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6.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Rumuskan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Ulang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Tujuan</w:t>
            </w:r>
          </w:p>
        </w:tc>
        <w:tc>
          <w:tcPr>
            <w:tcW w:w="0" w:type="auto"/>
            <w:vAlign w:val="center"/>
            <w:hideMark/>
          </w:tcPr>
          <w:p w14:paraId="6360EF83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Tujuan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Responsif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Gender: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Meningkatkan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kapasitas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legalitas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akses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pasar digital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dikelola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sehingga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dapat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meningkatkan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skala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pendapatan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mereka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secara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signifikan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251DB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6275E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7.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Rencana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Aksi</w:t>
            </w:r>
          </w:p>
        </w:tc>
        <w:tc>
          <w:tcPr>
            <w:tcW w:w="0" w:type="auto"/>
            <w:vAlign w:val="center"/>
            <w:hideMark/>
          </w:tcPr>
          <w:p w14:paraId="3F51184A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Mengembangkan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modul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pemasaran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fleksibel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metode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lang w:eastAsia="en-ID"/>
                <w14:ligatures w14:val="none"/>
              </w:rPr>
              <w:t>hybrid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relevan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konteks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wirausaha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Menyelenggarakan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klinik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layanan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"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jemput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bola"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pendaftaran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NIB, P-IRT,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Halal di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sentra-sentra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3.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Membangun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program mentorship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menghubungkan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pemula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pengusaha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lebih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senior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misalnya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dari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IWAPI).</w:t>
            </w:r>
          </w:p>
        </w:tc>
      </w:tr>
      <w:tr w:rsidR="00E80A61" w:rsidRPr="00E80A61" w14:paraId="1AE8D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BA273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Tahap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III: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Pengukuran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Hasil</w:t>
            </w:r>
          </w:p>
        </w:tc>
        <w:tc>
          <w:tcPr>
            <w:tcW w:w="0" w:type="auto"/>
            <w:vAlign w:val="center"/>
            <w:hideMark/>
          </w:tcPr>
          <w:p w14:paraId="13A4233F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</w:p>
        </w:tc>
      </w:tr>
      <w:tr w:rsidR="00E80A61" w:rsidRPr="00E80A61" w14:paraId="083726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85498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8. Data Dasar (Baseline)</w:t>
            </w:r>
          </w:p>
        </w:tc>
        <w:tc>
          <w:tcPr>
            <w:tcW w:w="0" w:type="auto"/>
            <w:vAlign w:val="center"/>
            <w:hideMark/>
          </w:tcPr>
          <w:p w14:paraId="13323565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memiliki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NIB: 10%.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milik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memiliki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Halal: 5%.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Omzet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rata-rata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bulanan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: Rp 3,5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menjual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produk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lang w:eastAsia="en-ID"/>
                <w14:ligatures w14:val="none"/>
              </w:rPr>
              <w:t>marketplace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: 15%.</w:t>
            </w:r>
          </w:p>
        </w:tc>
      </w:tr>
      <w:tr w:rsidR="00E80A61" w:rsidRPr="00E80A61" w14:paraId="32D14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9C4B0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9.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Indikator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Kinerja Gender</w:t>
            </w:r>
          </w:p>
        </w:tc>
        <w:tc>
          <w:tcPr>
            <w:tcW w:w="0" w:type="auto"/>
            <w:vAlign w:val="center"/>
            <w:hideMark/>
          </w:tcPr>
          <w:p w14:paraId="5FBB62FC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Output: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100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terlatih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pemasaran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digital; 75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NIB; 50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Halal. </w:t>
            </w: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Outcome: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Peningkatan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omzet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rata-rata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peserta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sebesar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30%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1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pasca-pelatihan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Peningkatan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aktif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lang w:eastAsia="en-ID"/>
                <w14:ligatures w14:val="none"/>
              </w:rPr>
              <w:t>marketplace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menjadi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50%.</w:t>
            </w:r>
          </w:p>
        </w:tc>
      </w:tr>
    </w:tbl>
    <w:p w14:paraId="22E718DE" w14:textId="77777777" w:rsidR="00E80A61" w:rsidRPr="00E80A61" w:rsidRDefault="00E80A61" w:rsidP="00E80A61">
      <w:pPr>
        <w:spacing w:after="0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Export to Sheets</w:t>
      </w:r>
    </w:p>
    <w:p w14:paraId="16B1BB4B" w14:textId="77777777" w:rsidR="00E80A61" w:rsidRPr="00E80A61" w:rsidRDefault="00E80A61" w:rsidP="00E80A61">
      <w:pPr>
        <w:spacing w:after="0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pict w14:anchorId="3D1F2A1D">
          <v:rect id="_x0000_i1025" style="width:0;height:1.5pt" o:hralign="center" o:hrstd="t" o:hr="t" fillcolor="#a0a0a0" stroked="f"/>
        </w:pict>
      </w:r>
    </w:p>
    <w:p w14:paraId="3B6ADA07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Format Gender Budget Statement (GBS)</w:t>
      </w:r>
    </w:p>
    <w:p w14:paraId="0D3B17B6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Program: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Daya Saing IKM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Fasilitasi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Legalitas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Usaha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Output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Meningkatnya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Legalitas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Rp 250.000.000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6495"/>
      </w:tblGrid>
      <w:tr w:rsidR="00E80A61" w:rsidRPr="00E80A61" w14:paraId="567873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095A70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lastRenderedPageBreak/>
              <w:t>Komponen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GBS</w:t>
            </w:r>
          </w:p>
        </w:tc>
        <w:tc>
          <w:tcPr>
            <w:tcW w:w="0" w:type="auto"/>
            <w:vAlign w:val="center"/>
            <w:hideMark/>
          </w:tcPr>
          <w:p w14:paraId="14DF52CE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Uraian</w:t>
            </w:r>
            <w:proofErr w:type="spellEnd"/>
          </w:p>
        </w:tc>
      </w:tr>
      <w:tr w:rsidR="00E80A61" w:rsidRPr="00E80A61" w14:paraId="699748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B1262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Analisis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Situasi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FD2592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Berdasarkan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data, 68% IKM di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Bengkayang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dikelola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namun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85%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masih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berskala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mikro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tertinggal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adopsi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legalitas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Kesenjangan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ini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disebabkan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oleh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faktor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internal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kurikulum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tidak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fleksibel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eksternal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beban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ganda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stereotip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gender).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ini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dirancang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secara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langsung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mengatasi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hambatan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tersebut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menyediakan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aksesibel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legalitas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proaktif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sehingga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pelaku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dapat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meningkatkan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skala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  <w:tr w:rsidR="00E80A61" w:rsidRPr="00E80A61" w14:paraId="1F6F3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25722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2.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Rencana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Aksi dan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Alokasi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Anggaran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Mengatasi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Kesenjangan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5B5E1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Rencana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Aksi 1: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Pemasaran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Digital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lang w:eastAsia="en-ID"/>
                <w14:ligatures w14:val="none"/>
              </w:rPr>
              <w:t>Hybrid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100 IKM Perempuan. </w:t>
            </w: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Output: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100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mampu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membuat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konten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promosi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mengelola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lang w:eastAsia="en-ID"/>
                <w14:ligatures w14:val="none"/>
              </w:rPr>
              <w:t>marketplace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Anggaran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Rp 120.000.000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honor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narasumber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materi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kuota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internet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peserta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daring,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konsumsi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Rencana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Aksi 2: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Klinik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Layanan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"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Jemput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Bola"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NIB dan Halal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75 IKM Perempuan. </w:t>
            </w: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Output: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75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memiliki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NIB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terdaftar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proses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sertifikasi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Halal.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Anggaran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Rp 80.000.000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biaya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transportasi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petugas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ATK,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biaya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pendaftaran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awal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).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Rencana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Aksi 3: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Program Mentorship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IWAPI. </w:t>
            </w: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Output: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Terlaksananya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3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pendampingan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bisnis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100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peserta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Anggaran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Rp 50.000.000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uang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saku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mentor,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biaya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koordinasi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materi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).</w:t>
            </w:r>
          </w:p>
        </w:tc>
      </w:tr>
      <w:tr w:rsidR="00E80A61" w:rsidRPr="00E80A61" w14:paraId="1B9CBC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CEFB9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3.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Dampak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/Hasil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Diharapkan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dari</w:t>
            </w:r>
            <w:proofErr w:type="spellEnd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 xml:space="preserve"> Output </w:t>
            </w:r>
            <w:proofErr w:type="spellStart"/>
            <w:r w:rsidRPr="00E80A61">
              <w:rPr>
                <w:rFonts w:ascii="Myriad Pro" w:eastAsia="Times New Roman" w:hAnsi="Myriad Pro" w:cs="Times New Roman"/>
                <w:b/>
                <w:bCs/>
                <w:kern w:val="0"/>
                <w:lang w:eastAsia="en-ID"/>
                <w14:ligatures w14:val="none"/>
              </w:rPr>
              <w:t>Kegiatan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353771" w14:textId="77777777" w:rsidR="00E80A61" w:rsidRPr="00E80A61" w:rsidRDefault="00E80A61" w:rsidP="00E80A61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terlaksananya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ini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diharapkan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terjadi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peningkatan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omzet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rata-rata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sebesar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30%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1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. Selain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itu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IKM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memiliki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legalitas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usaha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aktif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di pasar digital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meningkat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signifikan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, yang pada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akhirnya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memperkuat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kemandirian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ekonomi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perempuan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kontribusi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mereka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terhadap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PDRB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Kabupaten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Bengkayang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.</w:t>
            </w:r>
          </w:p>
        </w:tc>
      </w:tr>
    </w:tbl>
    <w:p w14:paraId="66F7404D" w14:textId="77777777" w:rsidR="00E80A61" w:rsidRPr="00E80A61" w:rsidRDefault="00E80A61" w:rsidP="00E80A61">
      <w:pPr>
        <w:spacing w:after="0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Export to Sheets</w:t>
      </w:r>
    </w:p>
    <w:p w14:paraId="366ABBB7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Bab 4: Desain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Unggulan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Gender</w:t>
      </w:r>
    </w:p>
    <w:p w14:paraId="37B02AFB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4.1. Program 1: IKM Perempuan Naik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Kelas</w:t>
      </w:r>
      <w:proofErr w:type="spellEnd"/>
    </w:p>
    <w:p w14:paraId="7C6DAE4E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dirancang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komprehensif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menjawab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tantangan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dihadapi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Industri Kecil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Menengah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(IKM)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dikelola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sejalan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temuan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Fokus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memberikan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keterampilan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memfasilitasi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legalitas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menyediakan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pendampingan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berkelanjutan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benar-benar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"naik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".   </w:t>
      </w:r>
    </w:p>
    <w:p w14:paraId="16C4DF59" w14:textId="77777777" w:rsidR="00E80A61" w:rsidRPr="00E80A61" w:rsidRDefault="00E80A61" w:rsidP="00E80A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Kurikulum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Komprehensif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Kurikulum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dirancang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modular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mengacu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pemberdayaan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wirausaha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 Modul-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modul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kunci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meliputi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  </w:t>
      </w:r>
    </w:p>
    <w:p w14:paraId="19B91A4C" w14:textId="77777777" w:rsidR="00E80A61" w:rsidRPr="00E80A61" w:rsidRDefault="00E80A61" w:rsidP="00E80A6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lastRenderedPageBreak/>
        <w:t>Membangun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Mindset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Wirausaha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Model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Bisnis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Business Model Canvas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memetakan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memperkuat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pondasi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bisnis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D329B97" w14:textId="77777777" w:rsidR="00E80A61" w:rsidRPr="00E80A61" w:rsidRDefault="00E80A61" w:rsidP="00E80A6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Literasi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Keuangan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pencatatan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keuangan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sederhana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penentuan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pokok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penjualan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(HPP),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manajemen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kas.</w:t>
      </w:r>
    </w:p>
    <w:p w14:paraId="4987E2B8" w14:textId="77777777" w:rsidR="00E80A61" w:rsidRPr="00E80A61" w:rsidRDefault="00E80A61" w:rsidP="00E80A6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Pemasaran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Digital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Terapan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membuat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foto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menarik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ponsel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menulis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deskripsi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menjual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mengelola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media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sosial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(Facebook, Instagram)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marketplace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7D119836" w14:textId="77777777" w:rsidR="00E80A61" w:rsidRPr="00E80A61" w:rsidRDefault="00E80A61" w:rsidP="00E80A6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Branding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Pengemasan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Workshop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mendesain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logo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kemasan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sederhana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menarik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meningkatkan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nilai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7095AFC" w14:textId="77777777" w:rsidR="00E80A61" w:rsidRPr="00E80A61" w:rsidRDefault="00E80A61" w:rsidP="00E80A6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Dasar-Dasar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Legalitas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Usaha: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Sosialisasi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mengenai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pentingnya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memperoleh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Nomor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(NIB).</w:t>
      </w:r>
    </w:p>
    <w:p w14:paraId="2CF449B1" w14:textId="77777777" w:rsidR="00E80A61" w:rsidRPr="00E80A61" w:rsidRDefault="00E80A61" w:rsidP="00E80A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Fasilitasi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Sertifikasi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Mengingat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legalitas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standardisasi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kunci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memasuki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lebih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luas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menyediakan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klinik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layanan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terpadu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proofErr w:type="gram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fasilitasi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:</w:t>
      </w:r>
      <w:proofErr w:type="gram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  </w:t>
      </w:r>
    </w:p>
    <w:p w14:paraId="32BBE477" w14:textId="77777777" w:rsidR="00E80A61" w:rsidRPr="00E80A61" w:rsidRDefault="00E80A61" w:rsidP="00E80A6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Sertifikasi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Pangan Industri Rumah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Tangga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(P-IRT):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Bekerja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Dinas Kesehatan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menyelenggarakan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penyuluhan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keamanan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memfasilitasi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proses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pengajuan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P-IRT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D3888E9" w14:textId="77777777" w:rsidR="00E80A61" w:rsidRPr="00E80A61" w:rsidRDefault="00E80A61" w:rsidP="00E80A6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Sertifikasi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Halal: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mendaftar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Halal Gratis (SEHATI)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pemerintah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skema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self-declare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mikro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bekerja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lembaga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terkait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CE95120" w14:textId="77777777" w:rsidR="00E80A61" w:rsidRPr="00E80A61" w:rsidRDefault="00E80A61" w:rsidP="00E80A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Pendampingan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Berkelanjutan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cukup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dilengkapi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pendampingan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pasca-pelatihan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3-6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 mana para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berkonsultasi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mentor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mengenai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tantangan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dihadapi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mengimplementasikan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ilmu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0DDA037B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4.2. Program 2: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Revitalisasi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Pasar Rakyat Aman,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Nyaman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Berdaya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Saing</w:t>
      </w:r>
    </w:p>
    <w:p w14:paraId="7FC44AC4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Pasar rakyat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pusat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ekonomi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vital di mana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mendominasi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revitalisasi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memperbaiki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fisik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bangunan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tetapi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juga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menciptakan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ekosistem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sehat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memberdayakan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semua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anak-anak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8752D2D" w14:textId="77777777" w:rsidR="00E80A61" w:rsidRPr="00E80A61" w:rsidRDefault="00E80A61" w:rsidP="00E80A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Integrasi SNI 8152:2021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Dasar: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upaya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revitalisasi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mengacu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Nasional Indonesia (SNI) 8152:2021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tentang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Rakyat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minimum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aspek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pengelolaan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zonasi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kebersihan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manajemen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3252E772" w14:textId="77777777" w:rsidR="00E80A61" w:rsidRPr="00E80A61" w:rsidRDefault="00E80A61" w:rsidP="00E80A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Spesifik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Gender: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SNI,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menambahkan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intervensi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khusus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menjawab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kebutuhan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kelompok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:</w:t>
      </w:r>
    </w:p>
    <w:p w14:paraId="3185E0EC" w14:textId="77777777" w:rsidR="00E80A61" w:rsidRPr="00E80A61" w:rsidRDefault="00E80A61" w:rsidP="00E80A6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Infrastruktur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Fisik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yang Aman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Nyaman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</w:p>
    <w:p w14:paraId="781295C6" w14:textId="77777777" w:rsidR="00E80A61" w:rsidRPr="00E80A61" w:rsidRDefault="00E80A61" w:rsidP="00E80A6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Pencahayaan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Memadai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area pasar,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termasuk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lorong-lorong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area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parkir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toilet,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pencahayaan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mencegah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kriminalitas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memberikan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rasa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7C08B72D" w14:textId="77777777" w:rsidR="00E80A61" w:rsidRPr="00E80A61" w:rsidRDefault="00E80A61" w:rsidP="00E80A6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Toilet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Terpisah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Layak: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Membangun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merenovasi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toilet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terpisah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laki-laki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lastRenderedPageBreak/>
        <w:t>ketersediaan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air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cukup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kunci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mudah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diakses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penyandang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disabilitas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75682910" w14:textId="77777777" w:rsidR="00E80A61" w:rsidRPr="00E80A61" w:rsidRDefault="00E80A61" w:rsidP="00E80A6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Ruang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Laktasi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Fasilitas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Anak: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Menyediakan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ruang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laktasi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privat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nyaman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sesuai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amanat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Permenkes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area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bermain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terawasi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Ini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sangat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pembeli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membawa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37FC446C" w14:textId="77777777" w:rsidR="00E80A61" w:rsidRPr="00E80A61" w:rsidRDefault="00E80A61" w:rsidP="00E80A6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Keamanan: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kamera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pengawas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(CCTV)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titik-titik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pintu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masuk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/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keluar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area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ramai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namun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area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privat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toilet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ruang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laktasi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mendirikan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keamanan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mudah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dihubungi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63D9B594" w14:textId="77777777" w:rsidR="00E80A61" w:rsidRPr="00E80A61" w:rsidRDefault="00E80A61" w:rsidP="00E80A6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Pemberdayaan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Ekonomi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Perempuan:</w:t>
      </w:r>
    </w:p>
    <w:p w14:paraId="3217E082" w14:textId="77777777" w:rsidR="00E80A61" w:rsidRPr="00E80A61" w:rsidRDefault="00E80A61" w:rsidP="00E80A6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Fasilitasi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Asosiasi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Perempuan: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Mendorong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memfasilitasi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pembentukan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paguyuban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asosiasi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pasar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wadah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advokasi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590CAAB9" w14:textId="77777777" w:rsidR="00E80A61" w:rsidRPr="00E80A61" w:rsidRDefault="00E80A61" w:rsidP="00E80A6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Literasi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Digital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Keuangan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Mengadakan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reguler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khususnya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mengenai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pengelolaan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keuangan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pemanfaatan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pembayaran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(QRIS)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meningkatkan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efisiensi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keamanan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transaksi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55FE70B2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4.3. Program 3: Kemitraan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Akses Pasar</w:t>
      </w:r>
    </w:p>
    <w:p w14:paraId="1D362F50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Memenuhi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partisipasi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masyarakat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memerlukan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kolaborasi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nyata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terdokumentasi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"Dunia Usaha" dan "Lembaga Masyarakat". Kemitraan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memperluas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jangkauan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DISPERINDAG,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tetapi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juga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pengganda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kekuatan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menghasilkan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otomatis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menghasilkan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foto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daftar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hadir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diklaim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kedua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pihak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sehingga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lebih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efisien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42C1D0F3" w14:textId="77777777" w:rsidR="00E80A61" w:rsidRPr="00E80A61" w:rsidRDefault="00E80A61" w:rsidP="00E80A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Sinergi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DEKRANASDA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DEKRANASDA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fokus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pengembangan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kerajinan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lokal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akses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termasuk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ekspor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Malaysia.   </w:t>
      </w:r>
    </w:p>
    <w:p w14:paraId="2079DFA8" w14:textId="77777777" w:rsidR="00E80A61" w:rsidRPr="00E80A61" w:rsidRDefault="00E80A61" w:rsidP="00E80A6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Menandatangani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MoU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antara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dan DEKRANASDA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:</w:t>
      </w:r>
    </w:p>
    <w:p w14:paraId="7E8600A7" w14:textId="77777777" w:rsidR="00E80A61" w:rsidRPr="00E80A61" w:rsidRDefault="00E80A61" w:rsidP="00E80A61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Kurasi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Promosi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Bersama: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kurasi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produk-produk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dipromosikan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dijual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Galeri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Dekranasda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baru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diresmikan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75D3F196" w14:textId="77777777" w:rsidR="00E80A61" w:rsidRPr="00E80A61" w:rsidRDefault="00E80A61" w:rsidP="00E80A61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Inovasi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Ekspor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Mengadakan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workshop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menargetkan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kerajinan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Bidai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batik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khas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meningkatkan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desain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kualitas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produk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agar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memenuhi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standar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Sarawak, Malaysia.</w:t>
      </w:r>
    </w:p>
    <w:p w14:paraId="5EE80F7C" w14:textId="77777777" w:rsidR="00E80A61" w:rsidRPr="00E80A61" w:rsidRDefault="00E80A61" w:rsidP="00E80A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Kolaborasi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IWAPI Kalimantan Barat: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Wanita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Indonesia (IWAPI)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tujuan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memperkuat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eksistensi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pengusaha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mereka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mengakses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pasar.   </w:t>
      </w:r>
    </w:p>
    <w:p w14:paraId="07A6FBF7" w14:textId="77777777" w:rsidR="00E80A61" w:rsidRPr="00E80A61" w:rsidRDefault="00E80A61" w:rsidP="00E80A6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Membangun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kemitraan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formal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DPD IWAPI Kalbar dan DPC IWAPI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jika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sudah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terbentuk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:</w:t>
      </w:r>
    </w:p>
    <w:p w14:paraId="2C1CE622" w14:textId="77777777" w:rsidR="00E80A61" w:rsidRPr="00E80A61" w:rsidRDefault="00E80A61" w:rsidP="00E80A6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lastRenderedPageBreak/>
        <w:t>Program Mentorship: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Melibatkan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anggota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IWAPI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sudah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mentor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"IKM Perempuan Naik Kelas".</w:t>
      </w:r>
    </w:p>
    <w:p w14:paraId="6BB5710D" w14:textId="77777777" w:rsidR="00E80A61" w:rsidRPr="00E80A61" w:rsidRDefault="00E80A61" w:rsidP="00E80A6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Business Matching: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Menggelar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acara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temu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bisnis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mempertemukan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anggota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IWAPI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jaringan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bisnis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mereka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membuka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peluang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kemitraan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rantai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pasok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akses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lebih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luas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Hal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langsung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menjawab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tantangan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dihadapi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IWAPI,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yaitu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mengubah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mindset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memperluas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pasar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anggotanya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  </w:t>
      </w:r>
    </w:p>
    <w:p w14:paraId="2ABF0399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Bab 5: Pembangunan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Monitoring-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Evaluasi</w:t>
      </w:r>
      <w:proofErr w:type="spellEnd"/>
    </w:p>
    <w:p w14:paraId="7CF9D26E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5.1.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Pengembangan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Basis Data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Pelaku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Usaha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Binaan</w:t>
      </w:r>
      <w:proofErr w:type="spellEnd"/>
    </w:p>
    <w:p w14:paraId="170ABB9A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Ketersediaan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menurut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jenis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kelamin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fondasi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siklus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merupakan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prasyarat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ditawar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Tanpa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valid,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mungkin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dilakukan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beralih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pengumpulan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bersifat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  </w:t>
      </w:r>
    </w:p>
    <w:p w14:paraId="11CBBD51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ad-hoc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manajemen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terstruktur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502A9302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basis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quick win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berdampak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besar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Ini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menyediakan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mengumpulkan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dibutuhkan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terstruktur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sebelumnya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waktu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kesalahan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proses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cepat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akurat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kueri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pivot table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0C56919D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Tabel 5.1: Template Basis Data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Pelaku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Usaha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Binaan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DISPERINDAG (Format Excel)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589"/>
        <w:gridCol w:w="483"/>
        <w:gridCol w:w="388"/>
        <w:gridCol w:w="507"/>
        <w:gridCol w:w="524"/>
        <w:gridCol w:w="1048"/>
        <w:gridCol w:w="670"/>
        <w:gridCol w:w="607"/>
        <w:gridCol w:w="479"/>
        <w:gridCol w:w="479"/>
        <w:gridCol w:w="712"/>
        <w:gridCol w:w="580"/>
        <w:gridCol w:w="527"/>
        <w:gridCol w:w="439"/>
        <w:gridCol w:w="439"/>
        <w:gridCol w:w="545"/>
      </w:tblGrid>
      <w:tr w:rsidR="00E80A61" w:rsidRPr="00E80A61" w14:paraId="701EA368" w14:textId="77777777" w:rsidTr="00E80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1CFE5D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Nama Usaha</w:t>
            </w:r>
          </w:p>
        </w:tc>
        <w:tc>
          <w:tcPr>
            <w:tcW w:w="0" w:type="auto"/>
            <w:hideMark/>
          </w:tcPr>
          <w:p w14:paraId="235716D2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Nama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Pemilik</w:t>
            </w:r>
            <w:proofErr w:type="spellEnd"/>
          </w:p>
        </w:tc>
        <w:tc>
          <w:tcPr>
            <w:tcW w:w="0" w:type="auto"/>
            <w:hideMark/>
          </w:tcPr>
          <w:p w14:paraId="5F133274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NIK</w:t>
            </w:r>
          </w:p>
        </w:tc>
        <w:tc>
          <w:tcPr>
            <w:tcW w:w="0" w:type="auto"/>
            <w:hideMark/>
          </w:tcPr>
          <w:p w14:paraId="7E8386DF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Jenis Kelamin (L/P)</w:t>
            </w:r>
          </w:p>
        </w:tc>
        <w:tc>
          <w:tcPr>
            <w:tcW w:w="0" w:type="auto"/>
            <w:hideMark/>
          </w:tcPr>
          <w:p w14:paraId="16DA0716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Alamat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Lengkap</w:t>
            </w:r>
            <w:proofErr w:type="spellEnd"/>
          </w:p>
        </w:tc>
        <w:tc>
          <w:tcPr>
            <w:tcW w:w="0" w:type="auto"/>
            <w:hideMark/>
          </w:tcPr>
          <w:p w14:paraId="454E8406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Jenis Usaha (Industri/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Perdagangan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02BBA63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Skala Usaha (Mikro/Kecil)</w:t>
            </w:r>
          </w:p>
        </w:tc>
        <w:tc>
          <w:tcPr>
            <w:tcW w:w="0" w:type="auto"/>
            <w:hideMark/>
          </w:tcPr>
          <w:p w14:paraId="589A4A7F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Omzet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Rata-Rata/Bulan (Rp)</w:t>
            </w:r>
          </w:p>
        </w:tc>
        <w:tc>
          <w:tcPr>
            <w:tcW w:w="0" w:type="auto"/>
            <w:hideMark/>
          </w:tcPr>
          <w:p w14:paraId="3228BE95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Tenaga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Kerja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(L)</w:t>
            </w:r>
          </w:p>
        </w:tc>
        <w:tc>
          <w:tcPr>
            <w:tcW w:w="0" w:type="auto"/>
            <w:hideMark/>
          </w:tcPr>
          <w:p w14:paraId="602428CD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Jumlah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Tenaga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Kerja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(P)</w:t>
            </w:r>
          </w:p>
        </w:tc>
        <w:tc>
          <w:tcPr>
            <w:tcW w:w="0" w:type="auto"/>
            <w:hideMark/>
          </w:tcPr>
          <w:p w14:paraId="663E3608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Program DISPERINDAG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Diikuti</w:t>
            </w:r>
            <w:proofErr w:type="spellEnd"/>
          </w:p>
        </w:tc>
        <w:tc>
          <w:tcPr>
            <w:tcW w:w="0" w:type="auto"/>
            <w:hideMark/>
          </w:tcPr>
          <w:p w14:paraId="7BABD0E1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Mengikuti</w:t>
            </w:r>
            <w:proofErr w:type="spellEnd"/>
          </w:p>
        </w:tc>
        <w:tc>
          <w:tcPr>
            <w:tcW w:w="0" w:type="auto"/>
            <w:hideMark/>
          </w:tcPr>
          <w:p w14:paraId="0979513C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Jenis Fasilitasi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Diterima</w:t>
            </w:r>
            <w:proofErr w:type="spellEnd"/>
          </w:p>
        </w:tc>
        <w:tc>
          <w:tcPr>
            <w:tcW w:w="0" w:type="auto"/>
            <w:hideMark/>
          </w:tcPr>
          <w:p w14:paraId="0E2E2A44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Punya NIB (Y/T)</w:t>
            </w:r>
          </w:p>
        </w:tc>
        <w:tc>
          <w:tcPr>
            <w:tcW w:w="0" w:type="auto"/>
            <w:hideMark/>
          </w:tcPr>
          <w:p w14:paraId="1C182069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Punya P-IRT (Y/T)</w:t>
            </w:r>
          </w:p>
        </w:tc>
        <w:tc>
          <w:tcPr>
            <w:tcW w:w="0" w:type="auto"/>
            <w:hideMark/>
          </w:tcPr>
          <w:p w14:paraId="64A02E57" w14:textId="77777777" w:rsidR="00E80A61" w:rsidRPr="00E80A61" w:rsidRDefault="00E80A61" w:rsidP="00E8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Punya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Sertifikat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Halal (Y/T)</w:t>
            </w:r>
          </w:p>
        </w:tc>
      </w:tr>
      <w:tr w:rsidR="00E80A61" w:rsidRPr="00E80A61" w14:paraId="3CB5ECA0" w14:textId="77777777" w:rsidTr="00E8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FCAE2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Keripik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Singkong "Renyah"</w:t>
            </w:r>
          </w:p>
        </w:tc>
        <w:tc>
          <w:tcPr>
            <w:tcW w:w="0" w:type="auto"/>
            <w:hideMark/>
          </w:tcPr>
          <w:p w14:paraId="75C734E9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Ibu Siti Aminah</w:t>
            </w:r>
          </w:p>
        </w:tc>
        <w:tc>
          <w:tcPr>
            <w:tcW w:w="0" w:type="auto"/>
            <w:hideMark/>
          </w:tcPr>
          <w:p w14:paraId="7645D5AA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610...</w:t>
            </w:r>
          </w:p>
        </w:tc>
        <w:tc>
          <w:tcPr>
            <w:tcW w:w="0" w:type="auto"/>
            <w:hideMark/>
          </w:tcPr>
          <w:p w14:paraId="7022C0E2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hideMark/>
          </w:tcPr>
          <w:p w14:paraId="004E8E20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Desa Maju Jaya</w:t>
            </w:r>
          </w:p>
        </w:tc>
        <w:tc>
          <w:tcPr>
            <w:tcW w:w="0" w:type="auto"/>
            <w:hideMark/>
          </w:tcPr>
          <w:p w14:paraId="60AF0404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Industri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Makanan</w:t>
            </w:r>
            <w:proofErr w:type="spellEnd"/>
          </w:p>
        </w:tc>
        <w:tc>
          <w:tcPr>
            <w:tcW w:w="0" w:type="auto"/>
            <w:hideMark/>
          </w:tcPr>
          <w:p w14:paraId="3539F59B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Mikro</w:t>
            </w:r>
            <w:proofErr w:type="spellEnd"/>
          </w:p>
        </w:tc>
        <w:tc>
          <w:tcPr>
            <w:tcW w:w="0" w:type="auto"/>
            <w:hideMark/>
          </w:tcPr>
          <w:p w14:paraId="0B900F9B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4.500.000</w:t>
            </w:r>
          </w:p>
        </w:tc>
        <w:tc>
          <w:tcPr>
            <w:tcW w:w="0" w:type="auto"/>
            <w:hideMark/>
          </w:tcPr>
          <w:p w14:paraId="30B36E0C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E9199CC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C62656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IKM Naik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Kelas</w:t>
            </w:r>
            <w:proofErr w:type="spellEnd"/>
          </w:p>
        </w:tc>
        <w:tc>
          <w:tcPr>
            <w:tcW w:w="0" w:type="auto"/>
            <w:hideMark/>
          </w:tcPr>
          <w:p w14:paraId="66B99B90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7991D9D9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Digital,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Fasilitasi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NIB</w:t>
            </w:r>
          </w:p>
        </w:tc>
        <w:tc>
          <w:tcPr>
            <w:tcW w:w="0" w:type="auto"/>
            <w:hideMark/>
          </w:tcPr>
          <w:p w14:paraId="6B5F414E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5947B2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</w:t>
            </w:r>
          </w:p>
        </w:tc>
        <w:tc>
          <w:tcPr>
            <w:tcW w:w="0" w:type="auto"/>
            <w:hideMark/>
          </w:tcPr>
          <w:p w14:paraId="3C2042F8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</w:t>
            </w:r>
          </w:p>
        </w:tc>
      </w:tr>
      <w:tr w:rsidR="00E80A61" w:rsidRPr="00E80A61" w14:paraId="503F3F41" w14:textId="77777777" w:rsidTr="00E8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3895F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lastRenderedPageBreak/>
              <w:t>Bengkel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Las "Jaya"</w:t>
            </w:r>
          </w:p>
        </w:tc>
        <w:tc>
          <w:tcPr>
            <w:tcW w:w="0" w:type="auto"/>
            <w:hideMark/>
          </w:tcPr>
          <w:p w14:paraId="7BF9D3C8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Bapak Budi Santoso</w:t>
            </w:r>
          </w:p>
        </w:tc>
        <w:tc>
          <w:tcPr>
            <w:tcW w:w="0" w:type="auto"/>
            <w:hideMark/>
          </w:tcPr>
          <w:p w14:paraId="3A3E8A6E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610...</w:t>
            </w:r>
          </w:p>
        </w:tc>
        <w:tc>
          <w:tcPr>
            <w:tcW w:w="0" w:type="auto"/>
            <w:hideMark/>
          </w:tcPr>
          <w:p w14:paraId="0C5171A9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L</w:t>
            </w:r>
          </w:p>
        </w:tc>
        <w:tc>
          <w:tcPr>
            <w:tcW w:w="0" w:type="auto"/>
            <w:hideMark/>
          </w:tcPr>
          <w:p w14:paraId="2B820FC0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Jl. Merdeka No. 10</w:t>
            </w:r>
          </w:p>
        </w:tc>
        <w:tc>
          <w:tcPr>
            <w:tcW w:w="0" w:type="auto"/>
            <w:hideMark/>
          </w:tcPr>
          <w:p w14:paraId="37A30ACC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Industri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Logam</w:t>
            </w:r>
            <w:proofErr w:type="spellEnd"/>
          </w:p>
        </w:tc>
        <w:tc>
          <w:tcPr>
            <w:tcW w:w="0" w:type="auto"/>
            <w:hideMark/>
          </w:tcPr>
          <w:p w14:paraId="04E209FB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Kecil</w:t>
            </w:r>
          </w:p>
        </w:tc>
        <w:tc>
          <w:tcPr>
            <w:tcW w:w="0" w:type="auto"/>
            <w:hideMark/>
          </w:tcPr>
          <w:p w14:paraId="6EA59BCD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25.000.000</w:t>
            </w:r>
          </w:p>
        </w:tc>
        <w:tc>
          <w:tcPr>
            <w:tcW w:w="0" w:type="auto"/>
            <w:hideMark/>
          </w:tcPr>
          <w:p w14:paraId="6256FB76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DF9BE9A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11E087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5DF78EE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92F0CCA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5D0A826A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739FEF6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T/A</w:t>
            </w:r>
          </w:p>
        </w:tc>
        <w:tc>
          <w:tcPr>
            <w:tcW w:w="0" w:type="auto"/>
            <w:hideMark/>
          </w:tcPr>
          <w:p w14:paraId="06F71723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T/A</w:t>
            </w:r>
          </w:p>
        </w:tc>
      </w:tr>
      <w:tr w:rsidR="00E80A61" w:rsidRPr="00E80A61" w14:paraId="49496ABE" w14:textId="77777777" w:rsidTr="00E8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6A7A87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Toko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Kelontong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"Berkah"</w:t>
            </w:r>
          </w:p>
        </w:tc>
        <w:tc>
          <w:tcPr>
            <w:tcW w:w="0" w:type="auto"/>
            <w:hideMark/>
          </w:tcPr>
          <w:p w14:paraId="00EB65B0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Ibu Maria</w:t>
            </w:r>
          </w:p>
        </w:tc>
        <w:tc>
          <w:tcPr>
            <w:tcW w:w="0" w:type="auto"/>
            <w:hideMark/>
          </w:tcPr>
          <w:p w14:paraId="61A8BFD7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610...</w:t>
            </w:r>
          </w:p>
        </w:tc>
        <w:tc>
          <w:tcPr>
            <w:tcW w:w="0" w:type="auto"/>
            <w:hideMark/>
          </w:tcPr>
          <w:p w14:paraId="21D49012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hideMark/>
          </w:tcPr>
          <w:p w14:paraId="72A7D63B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Pasar Pagi Blok A</w:t>
            </w:r>
          </w:p>
        </w:tc>
        <w:tc>
          <w:tcPr>
            <w:tcW w:w="0" w:type="auto"/>
            <w:hideMark/>
          </w:tcPr>
          <w:p w14:paraId="2BD29184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Perdagangan</w:t>
            </w:r>
            <w:proofErr w:type="spellEnd"/>
          </w:p>
        </w:tc>
        <w:tc>
          <w:tcPr>
            <w:tcW w:w="0" w:type="auto"/>
            <w:hideMark/>
          </w:tcPr>
          <w:p w14:paraId="48254700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Mikro</w:t>
            </w:r>
            <w:proofErr w:type="spellEnd"/>
          </w:p>
        </w:tc>
        <w:tc>
          <w:tcPr>
            <w:tcW w:w="0" w:type="auto"/>
            <w:hideMark/>
          </w:tcPr>
          <w:p w14:paraId="5921A0DE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8.000.000</w:t>
            </w:r>
          </w:p>
        </w:tc>
        <w:tc>
          <w:tcPr>
            <w:tcW w:w="0" w:type="auto"/>
            <w:hideMark/>
          </w:tcPr>
          <w:p w14:paraId="7A2544A1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C6C87B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05D10E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Revitalisasi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Pasar</w:t>
            </w:r>
          </w:p>
        </w:tc>
        <w:tc>
          <w:tcPr>
            <w:tcW w:w="0" w:type="auto"/>
            <w:hideMark/>
          </w:tcPr>
          <w:p w14:paraId="3D31CCAC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2026</w:t>
            </w:r>
          </w:p>
        </w:tc>
        <w:tc>
          <w:tcPr>
            <w:tcW w:w="0" w:type="auto"/>
            <w:hideMark/>
          </w:tcPr>
          <w:p w14:paraId="3A85B103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 xml:space="preserve"> QRIS</w:t>
            </w:r>
          </w:p>
        </w:tc>
        <w:tc>
          <w:tcPr>
            <w:tcW w:w="0" w:type="auto"/>
            <w:hideMark/>
          </w:tcPr>
          <w:p w14:paraId="35E4815A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A433B8E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T/A</w:t>
            </w:r>
          </w:p>
        </w:tc>
        <w:tc>
          <w:tcPr>
            <w:tcW w:w="0" w:type="auto"/>
            <w:hideMark/>
          </w:tcPr>
          <w:p w14:paraId="2050729B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18"/>
                <w:szCs w:val="18"/>
                <w:lang w:eastAsia="en-ID"/>
                <w14:ligatures w14:val="none"/>
              </w:rPr>
              <w:t>T/A</w:t>
            </w:r>
          </w:p>
        </w:tc>
      </w:tr>
    </w:tbl>
    <w:p w14:paraId="6DC78507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5.2.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Merancang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Kinerja Gender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Dampak</w:t>
      </w:r>
      <w:proofErr w:type="spellEnd"/>
    </w:p>
    <w:p w14:paraId="1A473DD4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membuktikan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bahwa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berhasil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mampu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dampaknya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Ini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berarti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beralih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sekadar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output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keluaran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menuju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pengukuran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outcome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hasil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sesuai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kerangka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dan GBS.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  </w:t>
      </w:r>
    </w:p>
    <w:p w14:paraId="3A1BB13A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outcome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menunjukkan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perubahan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nyata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kondisi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status,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kesejahteraan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penerima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manfaat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536AD549" w14:textId="77777777" w:rsidR="00E80A61" w:rsidRPr="00E80A61" w:rsidRDefault="00E80A61" w:rsidP="00E80A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Output (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Pelaksanaan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):</w:t>
      </w:r>
    </w:p>
    <w:p w14:paraId="44853BD8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milik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mengikuti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digital.</w:t>
      </w:r>
    </w:p>
    <w:p w14:paraId="46559DA4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toilet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dibangun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pasar rakyat.</w:t>
      </w:r>
    </w:p>
    <w:p w14:paraId="5D8D840D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MoU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kemitraan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ditandatangani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organisasi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90FE102" w14:textId="77777777" w:rsidR="00E80A61" w:rsidRPr="00E80A61" w:rsidRDefault="00E80A61" w:rsidP="00E80A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Contoh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Outcome (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Mengukur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Dampak):</w:t>
      </w:r>
    </w:p>
    <w:p w14:paraId="1137CDFD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omzet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rata-rata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milik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mengikuti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program.</w:t>
      </w:r>
    </w:p>
    <w:p w14:paraId="24E62898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IKM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milik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berhasil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naik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skala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mikro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kecil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CB02636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pasar rakyat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pembayaran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(QRIS)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revitalisasi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7CB6BB08" w14:textId="77777777" w:rsidR="00E80A61" w:rsidRPr="00E80A61" w:rsidRDefault="00E80A61" w:rsidP="00E80A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Penurunan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angka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keluhan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terkait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keamanan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dilaporkan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oleh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pedagang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pasar.</w:t>
      </w:r>
    </w:p>
    <w:p w14:paraId="093224CF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5.3.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Kontribusi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Kabupaten</w:t>
      </w:r>
      <w:proofErr w:type="spellEnd"/>
    </w:p>
    <w:p w14:paraId="63BAD943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diakhiri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sistematis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pertanggungjawaban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tetapi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juga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kontribusi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vital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APE.   </w:t>
      </w:r>
    </w:p>
    <w:p w14:paraId="122DC4CC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Aksi:</w:t>
      </w:r>
    </w:p>
    <w:p w14:paraId="00E37757" w14:textId="77777777" w:rsidR="00E80A61" w:rsidRPr="00E80A61" w:rsidRDefault="00E80A61" w:rsidP="00E80A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lastRenderedPageBreak/>
        <w:t>Tetapkan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Siklus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Internal: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Tim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menetapkan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siklus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triwulan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bidang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/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wajib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melaporkan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kemajuan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program/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dukung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foto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daftar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hadir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3166050C" w14:textId="77777777" w:rsidR="00E80A61" w:rsidRPr="00E80A61" w:rsidRDefault="00E80A61" w:rsidP="00E80A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Konsolidasi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Tingkat Dinas: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Focal Point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bertugas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mengonsolidasikan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semua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bidang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DISPERINDAG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komprehensif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memuat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capaian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berdasarkan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output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r w:rsidRPr="00E80A61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outcome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ditetapkan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31DC58EE" w14:textId="77777777" w:rsidR="00E80A61" w:rsidRPr="00E80A61" w:rsidRDefault="00E80A61" w:rsidP="00E80A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Penyampaian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Pokja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terkonsolidasi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kemudian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resmi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disampaikan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kepada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Pokja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bahwa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semua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capaian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praktik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baik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terdokumentasi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terhitung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penilaian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keseluruhan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D4C70F2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Bab 6: Peta Jalan (Roadmap)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Kebijakan</w:t>
      </w:r>
      <w:proofErr w:type="spellEnd"/>
    </w:p>
    <w:p w14:paraId="2895EB3D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6.1. Peta Jalan Aksi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Jangka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Pendek,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Menengah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, dan Panjang</w:t>
      </w:r>
    </w:p>
    <w:p w14:paraId="1A6E5403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strategi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dieksekusi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efektif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diperlukan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jalan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jelas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terukur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penanggung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jawab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Peta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jalan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merangkum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sebuah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masa yang actionable,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berfungsi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panduan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pimpinan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mengalokasikan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sumber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memantau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kemajuan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599AA32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Tabel 6.1: Peta Jalan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PUG DISPERINDAG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Bengkayang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(2025-2029)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73"/>
        <w:gridCol w:w="1921"/>
        <w:gridCol w:w="1497"/>
        <w:gridCol w:w="863"/>
        <w:gridCol w:w="1579"/>
        <w:gridCol w:w="1583"/>
      </w:tblGrid>
      <w:tr w:rsidR="00E80A61" w:rsidRPr="00E80A61" w14:paraId="155F89B0" w14:textId="77777777" w:rsidTr="00E80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22EEFF" w14:textId="77777777" w:rsidR="00E80A61" w:rsidRPr="00E80A61" w:rsidRDefault="00E80A61" w:rsidP="00E80A61">
            <w:pPr>
              <w:jc w:val="center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Prioritas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Aksi</w:t>
            </w:r>
          </w:p>
        </w:tc>
        <w:tc>
          <w:tcPr>
            <w:tcW w:w="0" w:type="auto"/>
            <w:vAlign w:val="center"/>
            <w:hideMark/>
          </w:tcPr>
          <w:p w14:paraId="2E377445" w14:textId="77777777" w:rsidR="00E80A61" w:rsidRPr="00E80A61" w:rsidRDefault="00E80A61" w:rsidP="00E80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2074476C" w14:textId="77777777" w:rsidR="00E80A61" w:rsidRPr="00E80A61" w:rsidRDefault="00E80A61" w:rsidP="00E80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Penanggung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Jawab (Unit/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Seksi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7E4B13C" w14:textId="77777777" w:rsidR="00E80A61" w:rsidRPr="00E80A61" w:rsidRDefault="00E80A61" w:rsidP="00E80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Target Waktu</w:t>
            </w:r>
          </w:p>
        </w:tc>
        <w:tc>
          <w:tcPr>
            <w:tcW w:w="0" w:type="auto"/>
            <w:vAlign w:val="center"/>
            <w:hideMark/>
          </w:tcPr>
          <w:p w14:paraId="0B700AB7" w14:textId="77777777" w:rsidR="00E80A61" w:rsidRPr="00E80A61" w:rsidRDefault="00E80A61" w:rsidP="00E80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Indikator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APE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Terkait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7BFA2" w14:textId="77777777" w:rsidR="00E80A61" w:rsidRPr="00E80A61" w:rsidRDefault="00E80A61" w:rsidP="00E80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Bukti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Dukung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Dihasilkan</w:t>
            </w:r>
            <w:proofErr w:type="spellEnd"/>
          </w:p>
        </w:tc>
      </w:tr>
      <w:tr w:rsidR="00E80A61" w:rsidRPr="00E80A61" w14:paraId="3AD56384" w14:textId="77777777" w:rsidTr="00F9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  <w:hideMark/>
          </w:tcPr>
          <w:p w14:paraId="4A97C109" w14:textId="16980528" w:rsidR="00E80A61" w:rsidRPr="00E80A61" w:rsidRDefault="00E80A61" w:rsidP="00E80A61">
            <w:pPr>
              <w:jc w:val="center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Jangka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Pendek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1 - 2025)</w:t>
            </w:r>
          </w:p>
        </w:tc>
      </w:tr>
      <w:tr w:rsidR="00E80A61" w:rsidRPr="00E80A61" w14:paraId="7C0456C8" w14:textId="77777777" w:rsidTr="00E8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7925A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Penguatan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Kelembagaan</w:t>
            </w:r>
            <w:proofErr w:type="spellEnd"/>
          </w:p>
        </w:tc>
        <w:tc>
          <w:tcPr>
            <w:tcW w:w="0" w:type="auto"/>
            <w:hideMark/>
          </w:tcPr>
          <w:p w14:paraId="6596408A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Formalisasi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Tim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Focal Point</w:t>
            </w: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PUG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melalui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SK Kadis. 2. Audit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kompetensi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PUG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dasar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seluruh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staf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. 3.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Implementasi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basis data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terpilah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IKM/UMKM.</w:t>
            </w:r>
          </w:p>
        </w:tc>
        <w:tc>
          <w:tcPr>
            <w:tcW w:w="0" w:type="auto"/>
            <w:hideMark/>
          </w:tcPr>
          <w:p w14:paraId="5036D0AA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Sekretariat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Perencanaan</w:t>
            </w:r>
            <w:proofErr w:type="spellEnd"/>
          </w:p>
        </w:tc>
        <w:tc>
          <w:tcPr>
            <w:tcW w:w="0" w:type="auto"/>
            <w:hideMark/>
          </w:tcPr>
          <w:p w14:paraId="61EFDE20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Q1-Q2 2025</w:t>
            </w:r>
          </w:p>
        </w:tc>
        <w:tc>
          <w:tcPr>
            <w:tcW w:w="0" w:type="auto"/>
            <w:hideMark/>
          </w:tcPr>
          <w:p w14:paraId="4A295FB2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Kelembagaan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SDM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Anggaran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Data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Informasi</w:t>
            </w:r>
            <w:proofErr w:type="spellEnd"/>
          </w:p>
        </w:tc>
        <w:tc>
          <w:tcPr>
            <w:tcW w:w="0" w:type="auto"/>
            <w:hideMark/>
          </w:tcPr>
          <w:p w14:paraId="304902FC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SK Tim Focal Point,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Audit Kompetensi,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Sertifikat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File</w:t>
            </w: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Basis Data Excel</w:t>
            </w:r>
          </w:p>
        </w:tc>
      </w:tr>
      <w:tr w:rsidR="00E80A61" w:rsidRPr="00E80A61" w14:paraId="221203F5" w14:textId="77777777" w:rsidTr="00E8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8243AC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Kemitraan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Strategis</w:t>
            </w:r>
            <w:proofErr w:type="spellEnd"/>
          </w:p>
        </w:tc>
        <w:tc>
          <w:tcPr>
            <w:tcW w:w="0" w:type="auto"/>
            <w:hideMark/>
          </w:tcPr>
          <w:p w14:paraId="196AF1A2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Penandatanganan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MoU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DEKRANASDA &amp; IWAPI.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Pelaksanaan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1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bersama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lastRenderedPageBreak/>
              <w:t>dengan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masing-masing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mitra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6C486A7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lastRenderedPageBreak/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Perdagangan,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Perindustrian</w:t>
            </w:r>
          </w:p>
        </w:tc>
        <w:tc>
          <w:tcPr>
            <w:tcW w:w="0" w:type="auto"/>
            <w:hideMark/>
          </w:tcPr>
          <w:p w14:paraId="2C6E945A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Q2-Q3 2025</w:t>
            </w:r>
          </w:p>
        </w:tc>
        <w:tc>
          <w:tcPr>
            <w:tcW w:w="0" w:type="auto"/>
            <w:hideMark/>
          </w:tcPr>
          <w:p w14:paraId="293E18D0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Partisipasi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Masyarakat</w:t>
            </w:r>
          </w:p>
        </w:tc>
        <w:tc>
          <w:tcPr>
            <w:tcW w:w="0" w:type="auto"/>
            <w:hideMark/>
          </w:tcPr>
          <w:p w14:paraId="4E4AAE6A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Dokumen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MoU,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Bersama, Foto, Daftar Hadir</w:t>
            </w:r>
          </w:p>
        </w:tc>
      </w:tr>
      <w:tr w:rsidR="00E80A61" w:rsidRPr="00E80A61" w14:paraId="60A3166A" w14:textId="77777777" w:rsidTr="00E8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2E939D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lastRenderedPageBreak/>
              <w:t xml:space="preserve">Program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Unggulan</w:t>
            </w:r>
            <w:proofErr w:type="spellEnd"/>
          </w:p>
        </w:tc>
        <w:tc>
          <w:tcPr>
            <w:tcW w:w="0" w:type="auto"/>
            <w:hideMark/>
          </w:tcPr>
          <w:p w14:paraId="1DE1BE10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Pelaksanaan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pilot project</w:t>
            </w: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"IKM Perempuan Naik Kelas"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50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peserta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Penyusunan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GAP &amp; GBS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pilot project</w:t>
            </w: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451EFC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Perindustrian</w:t>
            </w:r>
          </w:p>
        </w:tc>
        <w:tc>
          <w:tcPr>
            <w:tcW w:w="0" w:type="auto"/>
            <w:hideMark/>
          </w:tcPr>
          <w:p w14:paraId="0EC2AC13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Q3-Q4 2025</w:t>
            </w:r>
          </w:p>
        </w:tc>
        <w:tc>
          <w:tcPr>
            <w:tcW w:w="0" w:type="auto"/>
            <w:hideMark/>
          </w:tcPr>
          <w:p w14:paraId="5D501890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Kebijakan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Teknis &amp; Program</w:t>
            </w:r>
          </w:p>
        </w:tc>
        <w:tc>
          <w:tcPr>
            <w:tcW w:w="0" w:type="auto"/>
            <w:hideMark/>
          </w:tcPr>
          <w:p w14:paraId="64CB26F9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Dokumen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GAP &amp; GBS,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Pelaksanaan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Pelatihan, Dokumentasi</w:t>
            </w:r>
          </w:p>
        </w:tc>
      </w:tr>
      <w:tr w:rsidR="00E80A61" w:rsidRPr="00E80A61" w14:paraId="3ABF1C31" w14:textId="77777777" w:rsidTr="0034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14:paraId="4D225FB9" w14:textId="016F1B84" w:rsidR="00E80A61" w:rsidRPr="00E80A61" w:rsidRDefault="00E80A61" w:rsidP="00E80A61">
            <w:pPr>
              <w:jc w:val="center"/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Jangka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Menengah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2-3 - 2026-2027)</w:t>
            </w:r>
          </w:p>
        </w:tc>
      </w:tr>
      <w:tr w:rsidR="00E80A61" w:rsidRPr="00E80A61" w14:paraId="20701416" w14:textId="77777777" w:rsidTr="00E8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A9516D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Pelembagaan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PPRG</w:t>
            </w:r>
          </w:p>
        </w:tc>
        <w:tc>
          <w:tcPr>
            <w:tcW w:w="0" w:type="auto"/>
            <w:hideMark/>
          </w:tcPr>
          <w:p w14:paraId="0AA5A355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Implementasi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penuh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penyusunan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GAP &amp; GBS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3 program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prioritas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setiap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PUG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tingkat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lanjut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(PPRG)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tim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perencana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77BA77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Perencanaan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, Tim Focal Point</w:t>
            </w:r>
          </w:p>
        </w:tc>
        <w:tc>
          <w:tcPr>
            <w:tcW w:w="0" w:type="auto"/>
            <w:hideMark/>
          </w:tcPr>
          <w:p w14:paraId="7F391EC0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2026-2027</w:t>
            </w:r>
          </w:p>
        </w:tc>
        <w:tc>
          <w:tcPr>
            <w:tcW w:w="0" w:type="auto"/>
            <w:hideMark/>
          </w:tcPr>
          <w:p w14:paraId="4D5D9C71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Kebijakan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Teknis &amp; Program, SDM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Anggaran</w:t>
            </w:r>
            <w:proofErr w:type="spellEnd"/>
          </w:p>
        </w:tc>
        <w:tc>
          <w:tcPr>
            <w:tcW w:w="0" w:type="auto"/>
            <w:hideMark/>
          </w:tcPr>
          <w:p w14:paraId="1B477C16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Dokumen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GAP &amp; GBS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untuk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6 program,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Sertifikat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Pelatihan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PPRG</w:t>
            </w:r>
          </w:p>
        </w:tc>
      </w:tr>
      <w:tr w:rsidR="00E80A61" w:rsidRPr="00E80A61" w14:paraId="460224AF" w14:textId="77777777" w:rsidTr="00E8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F5D66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Revitalisasi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Pasar</w:t>
            </w:r>
          </w:p>
        </w:tc>
        <w:tc>
          <w:tcPr>
            <w:tcW w:w="0" w:type="auto"/>
            <w:hideMark/>
          </w:tcPr>
          <w:p w14:paraId="766EB784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Pelaksanaan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pilot project</w:t>
            </w: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Revitalisasi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Responsif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Gender di 1 pasar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percontohan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Pengukuran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baseline</w:t>
            </w: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kepuasan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keamanan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pedagang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0833C44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Pasar,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Perdagangan</w:t>
            </w:r>
            <w:proofErr w:type="spellEnd"/>
          </w:p>
        </w:tc>
        <w:tc>
          <w:tcPr>
            <w:tcW w:w="0" w:type="auto"/>
            <w:hideMark/>
          </w:tcPr>
          <w:p w14:paraId="15ABB32E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2026-2027</w:t>
            </w:r>
          </w:p>
        </w:tc>
        <w:tc>
          <w:tcPr>
            <w:tcW w:w="0" w:type="auto"/>
            <w:hideMark/>
          </w:tcPr>
          <w:p w14:paraId="7705A135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Pelaksanaan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Pembangunan</w:t>
            </w:r>
          </w:p>
        </w:tc>
        <w:tc>
          <w:tcPr>
            <w:tcW w:w="0" w:type="auto"/>
            <w:hideMark/>
          </w:tcPr>
          <w:p w14:paraId="2E06629E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Dokumen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Perencanaan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Teknis,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Pembangunan Fisik,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Survei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E80A61">
              <w:rPr>
                <w:rFonts w:ascii="Myriad Pro" w:eastAsia="Times New Roman" w:hAnsi="Myriad Pro" w:cs="Times New Roman"/>
                <w:i/>
                <w:iCs/>
                <w:kern w:val="0"/>
                <w:sz w:val="22"/>
                <w:szCs w:val="22"/>
                <w:lang w:eastAsia="en-ID"/>
                <w14:ligatures w14:val="none"/>
              </w:rPr>
              <w:t>Baseline</w:t>
            </w:r>
          </w:p>
        </w:tc>
      </w:tr>
      <w:tr w:rsidR="00E80A61" w:rsidRPr="00E80A61" w14:paraId="20AFCCE0" w14:textId="77777777" w:rsidTr="000C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14:paraId="3B755E4F" w14:textId="62BFACAD" w:rsidR="00E80A61" w:rsidRPr="00E80A61" w:rsidRDefault="00E80A61" w:rsidP="00E80A61">
            <w:pPr>
              <w:jc w:val="center"/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Jangka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Panjang (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>Tahun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32"/>
                <w:szCs w:val="32"/>
                <w:lang w:eastAsia="en-ID"/>
                <w14:ligatures w14:val="none"/>
              </w:rPr>
              <w:t xml:space="preserve"> 4-5 - 2028-2029)</w:t>
            </w:r>
          </w:p>
        </w:tc>
      </w:tr>
      <w:tr w:rsidR="00E80A61" w:rsidRPr="00E80A61" w14:paraId="04629FF9" w14:textId="77777777" w:rsidTr="00E8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36E7E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Evaluasi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Replikasi</w:t>
            </w:r>
            <w:proofErr w:type="spellEnd"/>
          </w:p>
        </w:tc>
        <w:tc>
          <w:tcPr>
            <w:tcW w:w="0" w:type="auto"/>
            <w:hideMark/>
          </w:tcPr>
          <w:p w14:paraId="02C28555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Evaluasi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dampak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program "IKM Naik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Kelas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"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Revitalisasi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Pasar.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Replikasi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program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sukses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lokasi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kelompok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sasaran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baru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81D223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Bidang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Perencanaan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, Tim Focal Point</w:t>
            </w:r>
          </w:p>
        </w:tc>
        <w:tc>
          <w:tcPr>
            <w:tcW w:w="0" w:type="auto"/>
            <w:hideMark/>
          </w:tcPr>
          <w:p w14:paraId="3E6774C4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2028-2029</w:t>
            </w:r>
          </w:p>
        </w:tc>
        <w:tc>
          <w:tcPr>
            <w:tcW w:w="0" w:type="auto"/>
            <w:hideMark/>
          </w:tcPr>
          <w:p w14:paraId="21F74AE9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Evaluasi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Pelaporan</w:t>
            </w:r>
            <w:proofErr w:type="spellEnd"/>
          </w:p>
        </w:tc>
        <w:tc>
          <w:tcPr>
            <w:tcW w:w="0" w:type="auto"/>
            <w:hideMark/>
          </w:tcPr>
          <w:p w14:paraId="27019FF7" w14:textId="77777777" w:rsidR="00E80A61" w:rsidRPr="00E80A61" w:rsidRDefault="00E80A61" w:rsidP="00E8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Evaluasi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Dampak,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Dokumen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Perencanaan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Replikasi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Program</w:t>
            </w:r>
          </w:p>
        </w:tc>
      </w:tr>
      <w:tr w:rsidR="00E80A61" w:rsidRPr="00E80A61" w14:paraId="7816FFFF" w14:textId="77777777" w:rsidTr="00E8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9FD3BF" w14:textId="77777777" w:rsidR="00E80A61" w:rsidRPr="00E80A61" w:rsidRDefault="00E80A61" w:rsidP="00E80A61">
            <w:pP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Diseminasi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&amp;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Pembinaan</w:t>
            </w:r>
            <w:proofErr w:type="spellEnd"/>
          </w:p>
        </w:tc>
        <w:tc>
          <w:tcPr>
            <w:tcW w:w="0" w:type="auto"/>
            <w:hideMark/>
          </w:tcPr>
          <w:p w14:paraId="4C8B1A62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1.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Penyusunan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dokumen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"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Praktik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Baik PUG Sektor Ekonomi". 2.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pengalaman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menjadi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mentor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bagi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OPD lain di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Kabupaten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Bengkayang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7FECD5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Kepala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Dinas, Tim Focal Point</w:t>
            </w:r>
          </w:p>
        </w:tc>
        <w:tc>
          <w:tcPr>
            <w:tcW w:w="0" w:type="auto"/>
            <w:hideMark/>
          </w:tcPr>
          <w:p w14:paraId="39AD68F1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2029</w:t>
            </w:r>
          </w:p>
        </w:tc>
        <w:tc>
          <w:tcPr>
            <w:tcW w:w="0" w:type="auto"/>
            <w:hideMark/>
          </w:tcPr>
          <w:p w14:paraId="4C9FBCEB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271F5545" w14:textId="77777777" w:rsidR="00E80A61" w:rsidRPr="00E80A61" w:rsidRDefault="00E80A61" w:rsidP="00E8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Buku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/Modul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Praktik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Baik,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E80A61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Diseminasi</w:t>
            </w:r>
            <w:proofErr w:type="spellEnd"/>
          </w:p>
        </w:tc>
      </w:tr>
    </w:tbl>
    <w:p w14:paraId="1885083D" w14:textId="77777777" w:rsidR="00E80A61" w:rsidRPr="00E80A61" w:rsidRDefault="00E80A61" w:rsidP="00E80A61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lastRenderedPageBreak/>
        <w:t xml:space="preserve">6.2.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Internal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>Keberlanjutan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PUG</w:t>
      </w:r>
    </w:p>
    <w:p w14:paraId="4299D48B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Agar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implementasi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tidak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bersifat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sesaat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bergantung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individu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tertentu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harus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dilembagakan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sistem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budaya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Keberlanjutan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adalah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kunci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mempertahankan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prestasi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di masa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27B9DCF" w14:textId="77777777" w:rsidR="00E80A61" w:rsidRPr="00E80A61" w:rsidRDefault="00E80A61" w:rsidP="00E80A61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Rekomendasi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Kebijakan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</w:p>
    <w:p w14:paraId="7B61C259" w14:textId="77777777" w:rsidR="00E80A61" w:rsidRPr="00E80A61" w:rsidRDefault="00E80A61" w:rsidP="00E80A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Menerbitkan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Peraturan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Dinas (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Perkadis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):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Susun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sahkan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Peraturan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Dinas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tentang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Pedoman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Teknis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Pelaksanaan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Pengarusutamaan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di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Lingkungan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DISPERINDAG.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Peraturan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menjadi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payung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hukum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 yang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mewajibkan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(GAP),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penyusunan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GBS,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pengumpulan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mekanisme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proses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7069BA5A" w14:textId="77777777" w:rsidR="00E80A61" w:rsidRPr="00E80A61" w:rsidRDefault="00E80A61" w:rsidP="00E80A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Integrasi PUG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Manajemen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Kinerja: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Masukkan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kinerja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terkait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Sasaran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Kinerja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Pegawai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(SKP),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terutama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pejabat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eselon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III dan IV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fungsional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Contohnya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, "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Tersusunnya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dan GBS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X"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"Tersedianya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triwulanan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". Hal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menciptakan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insentif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akuntabilitas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individu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terhadap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pelaksanaan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PUG.</w:t>
      </w:r>
    </w:p>
    <w:p w14:paraId="231F0FCD" w14:textId="77777777" w:rsidR="00E80A61" w:rsidRPr="00E80A61" w:rsidRDefault="00E80A61" w:rsidP="00E80A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Alokasi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Rutin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:</w:t>
      </w:r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Alokasikan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secara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permanen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pos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kapasitas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terkait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Kerja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(RKA)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digunakan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membiayai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bimbingan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teknis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pengiriman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mengikuti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sertifikasi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memastikan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keberlanjutan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pengembangan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kompetensi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di masa </w:t>
      </w:r>
      <w:proofErr w:type="spellStart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depan</w:t>
      </w:r>
      <w:proofErr w:type="spellEnd"/>
      <w:r w:rsidRPr="00E80A61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4D64488D" w14:textId="77777777" w:rsidR="001B38C5" w:rsidRPr="00E80A61" w:rsidRDefault="001B38C5">
      <w:pPr>
        <w:rPr>
          <w:rFonts w:ascii="Myriad Pro" w:hAnsi="Myriad Pro"/>
        </w:rPr>
      </w:pPr>
    </w:p>
    <w:sectPr w:rsidR="001B38C5" w:rsidRPr="00E80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D28"/>
    <w:multiLevelType w:val="multilevel"/>
    <w:tmpl w:val="A80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14455"/>
    <w:multiLevelType w:val="multilevel"/>
    <w:tmpl w:val="573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03AD"/>
    <w:multiLevelType w:val="multilevel"/>
    <w:tmpl w:val="82DC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47477"/>
    <w:multiLevelType w:val="multilevel"/>
    <w:tmpl w:val="989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B7561"/>
    <w:multiLevelType w:val="multilevel"/>
    <w:tmpl w:val="9954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54245"/>
    <w:multiLevelType w:val="multilevel"/>
    <w:tmpl w:val="3D6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43469"/>
    <w:multiLevelType w:val="multilevel"/>
    <w:tmpl w:val="DCFE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02826"/>
    <w:multiLevelType w:val="multilevel"/>
    <w:tmpl w:val="06F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7092D"/>
    <w:multiLevelType w:val="multilevel"/>
    <w:tmpl w:val="551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23696"/>
    <w:multiLevelType w:val="multilevel"/>
    <w:tmpl w:val="A5F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43C20"/>
    <w:multiLevelType w:val="multilevel"/>
    <w:tmpl w:val="9D5C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E6915"/>
    <w:multiLevelType w:val="multilevel"/>
    <w:tmpl w:val="522C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479058">
    <w:abstractNumId w:val="3"/>
  </w:num>
  <w:num w:numId="2" w16cid:durableId="989554877">
    <w:abstractNumId w:val="0"/>
  </w:num>
  <w:num w:numId="3" w16cid:durableId="2048526327">
    <w:abstractNumId w:val="9"/>
  </w:num>
  <w:num w:numId="4" w16cid:durableId="752169278">
    <w:abstractNumId w:val="4"/>
  </w:num>
  <w:num w:numId="5" w16cid:durableId="1541549480">
    <w:abstractNumId w:val="7"/>
  </w:num>
  <w:num w:numId="6" w16cid:durableId="534930154">
    <w:abstractNumId w:val="6"/>
  </w:num>
  <w:num w:numId="7" w16cid:durableId="1517161009">
    <w:abstractNumId w:val="1"/>
  </w:num>
  <w:num w:numId="8" w16cid:durableId="1725593459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909922116">
    <w:abstractNumId w:val="5"/>
  </w:num>
  <w:num w:numId="10" w16cid:durableId="1857307928">
    <w:abstractNumId w:val="11"/>
  </w:num>
  <w:num w:numId="11" w16cid:durableId="634021475">
    <w:abstractNumId w:val="11"/>
    <w:lvlOverride w:ilvl="2">
      <w:startOverride w:val="1"/>
    </w:lvlOverride>
  </w:num>
  <w:num w:numId="12" w16cid:durableId="243802394">
    <w:abstractNumId w:val="8"/>
  </w:num>
  <w:num w:numId="13" w16cid:durableId="899901279">
    <w:abstractNumId w:val="2"/>
  </w:num>
  <w:num w:numId="14" w16cid:durableId="48119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61"/>
    <w:rsid w:val="001B38C5"/>
    <w:rsid w:val="009C78A1"/>
    <w:rsid w:val="00DB1AAC"/>
    <w:rsid w:val="00E8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EC89"/>
  <w15:chartTrackingRefBased/>
  <w15:docId w15:val="{8D7D4F9F-68E9-403B-AB0A-D4F3653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61"/>
    <w:rPr>
      <w:b/>
      <w:bCs/>
      <w:smallCaps/>
      <w:color w:val="0F4761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E80A6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4973</Words>
  <Characters>28348</Characters>
  <Application>Microsoft Office Word</Application>
  <DocSecurity>0</DocSecurity>
  <Lines>236</Lines>
  <Paragraphs>66</Paragraphs>
  <ScaleCrop>false</ScaleCrop>
  <Company/>
  <LinksUpToDate>false</LinksUpToDate>
  <CharactersWithSpaces>33255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acercc050425@outlook.com</dc:creator>
  <cp:keywords/>
  <dc:description/>
  <cp:lastModifiedBy>acercc050425@outlook.com</cp:lastModifiedBy>
  <cp:revision>1</cp:revision>
  <dcterms:created xsi:type="dcterms:W3CDTF">2025-09-13T04:09:00Z</dcterms:created>
  <dcterms:modified xsi:type="dcterms:W3CDTF">2025-09-13T04:16:00Z</dcterms:modified>
</cp:coreProperties>
</file>