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3F151" w14:textId="77777777" w:rsidR="00542A18" w:rsidRDefault="00542A18" w:rsidP="00542A18">
      <w:pPr>
        <w:spacing w:before="100" w:beforeAutospacing="1" w:after="100" w:afterAutospacing="1" w:line="240" w:lineRule="auto"/>
        <w:jc w:val="center"/>
        <w:outlineLvl w:val="0"/>
        <w:rPr>
          <w:rFonts w:ascii="Myriad Pro" w:eastAsia="Times New Roman" w:hAnsi="Myriad Pro" w:cs="Times New Roman"/>
          <w:b/>
          <w:bCs/>
          <w:color w:val="590000"/>
          <w:kern w:val="36"/>
          <w:sz w:val="48"/>
          <w:szCs w:val="48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color w:val="590000"/>
          <w:kern w:val="36"/>
          <w:sz w:val="48"/>
          <w:szCs w:val="48"/>
          <w:lang w:eastAsia="en-ID"/>
          <w14:ligatures w14:val="none"/>
        </w:rPr>
        <w:t xml:space="preserve">Langkah-Langkah </w:t>
      </w:r>
      <w:proofErr w:type="spellStart"/>
      <w:r w:rsidRPr="00542A18">
        <w:rPr>
          <w:rFonts w:ascii="Myriad Pro" w:eastAsia="Times New Roman" w:hAnsi="Myriad Pro" w:cs="Times New Roman"/>
          <w:b/>
          <w:bCs/>
          <w:color w:val="590000"/>
          <w:kern w:val="36"/>
          <w:sz w:val="48"/>
          <w:szCs w:val="48"/>
          <w:lang w:eastAsia="en-ID"/>
          <w14:ligatures w14:val="none"/>
        </w:rPr>
        <w:t>Percepatan</w:t>
      </w:r>
      <w:proofErr w:type="spellEnd"/>
      <w:r w:rsidRPr="00542A18">
        <w:rPr>
          <w:rFonts w:ascii="Myriad Pro" w:eastAsia="Times New Roman" w:hAnsi="Myriad Pro" w:cs="Times New Roman"/>
          <w:b/>
          <w:bCs/>
          <w:color w:val="590000"/>
          <w:kern w:val="36"/>
          <w:sz w:val="48"/>
          <w:szCs w:val="48"/>
          <w:lang w:eastAsia="en-ID"/>
          <w14:ligatures w14:val="none"/>
        </w:rPr>
        <w:t xml:space="preserve"> Pembangunan PUG oleh DISKOMINFO </w:t>
      </w:r>
      <w:proofErr w:type="spellStart"/>
      <w:r w:rsidRPr="00542A18">
        <w:rPr>
          <w:rFonts w:ascii="Myriad Pro" w:eastAsia="Times New Roman" w:hAnsi="Myriad Pro" w:cs="Times New Roman"/>
          <w:b/>
          <w:bCs/>
          <w:color w:val="590000"/>
          <w:kern w:val="36"/>
          <w:sz w:val="48"/>
          <w:szCs w:val="48"/>
          <w:lang w:eastAsia="en-ID"/>
          <w14:ligatures w14:val="none"/>
        </w:rPr>
        <w:t>Bengkayang</w:t>
      </w:r>
      <w:proofErr w:type="spellEnd"/>
    </w:p>
    <w:p w14:paraId="476CF4D4" w14:textId="77777777" w:rsidR="00542A18" w:rsidRPr="00542A18" w:rsidRDefault="00542A18" w:rsidP="00542A18">
      <w:pPr>
        <w:spacing w:before="100" w:beforeAutospacing="1" w:after="100" w:afterAutospacing="1" w:line="240" w:lineRule="auto"/>
        <w:jc w:val="center"/>
        <w:outlineLvl w:val="0"/>
        <w:rPr>
          <w:rFonts w:ascii="Myriad Pro" w:eastAsia="Times New Roman" w:hAnsi="Myriad Pro" w:cs="Times New Roman"/>
          <w:b/>
          <w:bCs/>
          <w:color w:val="590000"/>
          <w:kern w:val="36"/>
          <w:sz w:val="48"/>
          <w:szCs w:val="48"/>
          <w:lang w:eastAsia="en-ID"/>
          <w14:ligatures w14:val="none"/>
        </w:rPr>
      </w:pPr>
    </w:p>
    <w:p w14:paraId="257D8060" w14:textId="77777777" w:rsidR="00542A18" w:rsidRPr="00542A18" w:rsidRDefault="00542A18" w:rsidP="00542A18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1.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Tahap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Persiapan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(Bulan 1-3: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Bangun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Fondasi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Pelembagaan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PUG di Sektor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Komunikasi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dan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Informatika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)</w:t>
      </w:r>
    </w:p>
    <w:p w14:paraId="5AB2B572" w14:textId="77777777" w:rsidR="00542A18" w:rsidRPr="00542A18" w:rsidRDefault="00542A18" w:rsidP="00542A18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Tujuan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Memenuhi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prasyarat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regulasi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SDM, dan data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fokus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pada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isu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kesenjangan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akses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teknologi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partisipasi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digital,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representasi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konten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media.</w:t>
      </w:r>
    </w:p>
    <w:p w14:paraId="14E7B6B3" w14:textId="77777777" w:rsidR="00542A18" w:rsidRPr="00542A18" w:rsidRDefault="00542A18" w:rsidP="00542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Langkah 1.1: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Perkuat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Regulasi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dan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Kebijakan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Internal PUG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Susun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pedoman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teknis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khusus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DISKOMINFO,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integrasi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kebijakan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komunikasi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publik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pengelolaan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teknologi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pengembangan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aplikasi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daerah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berdasarkan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regulasi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nasional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Inpres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No. 9/2000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pedoman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sektor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teknologi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Ajukan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Bupati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/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Sekda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pengesahan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Peraturan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/Keputusan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Sekda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Petunjuk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Teknis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Juknis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mencakup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7 proses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pembangunan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hingga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pelaporan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).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Aksi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Koordinasi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Bagian Hukum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drafting,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integrasikan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kebijakan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pengelolaan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website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daerah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kampanye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publik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Tanggung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Jawab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Kepala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DISKOMINFO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pengusul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kolaborasi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Bappeda.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Bukti </w:t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Dukung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Juknis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Keputusan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Sekda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yang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diundangkan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Indikator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Target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Regulasi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mencakup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seluruh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7 proses,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sesuai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kriteria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APE.</w:t>
      </w:r>
    </w:p>
    <w:p w14:paraId="1858B42A" w14:textId="77777777" w:rsidR="00542A18" w:rsidRPr="00542A18" w:rsidRDefault="00542A18" w:rsidP="00542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Langkah 1.2: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Tingkatkan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Kapasitas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SDM dan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Internalisasi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PUG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Latih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SDM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penganggaran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teknis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/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staf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IT,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penyiar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komunikasi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publik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pemantau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evaluator)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melalui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Penganggaran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Responsif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(PPRG).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Tunjuk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Focal Point di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setiap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seksi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seksi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komunikasi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publik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teknologi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SK,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serta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Champions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staf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IT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penyiar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berpengaruh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advokasi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Ikuti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Kemen PPPA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Kementerian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Komunikasi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Informatika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Aksi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Gelar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sosialisasi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internal, target 80% SDM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terlatih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hitung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persentase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jumlah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SDM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terlatih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÷ total SDM × 100).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Tanggung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Jawab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Seksi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Teknologi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sebagai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koordinator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Bukti </w:t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Dukung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Sertifikat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SK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penunjukan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kegiatan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(daftar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hadir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dokumentasi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).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Indikator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Target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Persentase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SDM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terlatih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&gt;80%, focal point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aktif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seluruh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seksi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1E047F82" w14:textId="77777777" w:rsidR="00542A18" w:rsidRPr="00542A18" w:rsidRDefault="00542A18" w:rsidP="00542A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Langkah 1.3: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Kembangkan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Sistem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Data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Terpilah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Gender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Komunikasi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dan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Informatika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lastRenderedPageBreak/>
        <w:t>Kumpul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laki-laki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/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komunikasi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informatika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jumlah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pengguna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aplikasi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daerah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partisipasi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literasi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audiens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kampanye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publik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di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luar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BPS.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Bangun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database digital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kesenjangan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di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sektor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teknologi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Aksi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Validasi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komunitas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pengguna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teknologi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target 100% program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memiliki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Tanggung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Jawab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Seksi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Statistik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Bukti </w:t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Dukung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Daftar data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screenshot database,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excel/pdf.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Indikator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Target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Persentase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&gt;90%,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sesuai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rekomendasi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GAP.</w:t>
      </w:r>
    </w:p>
    <w:p w14:paraId="2D9C664F" w14:textId="77777777" w:rsidR="00542A18" w:rsidRPr="00542A18" w:rsidRDefault="00542A18" w:rsidP="00542A18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2.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Tahap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Implementasi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(Bulan 4-9: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Integrasikan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PUG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ke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Program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Komunikasi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dan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Informatika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)</w:t>
      </w:r>
    </w:p>
    <w:p w14:paraId="640DB47F" w14:textId="77777777" w:rsidR="00542A18" w:rsidRPr="00542A18" w:rsidRDefault="00542A18" w:rsidP="00542A18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Tujuan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Pastikan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responsif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output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akses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teknologi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inklusif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kampanye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kesetaraan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gender,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pemberdayaan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literasi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digital.</w:t>
      </w:r>
    </w:p>
    <w:p w14:paraId="7CD25722" w14:textId="77777777" w:rsidR="00542A18" w:rsidRPr="00542A18" w:rsidRDefault="00542A18" w:rsidP="00542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Langkah 2.1: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Integrasikan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Gender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ke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Perencanaan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Responsif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Lakukan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menggunakan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identifikasi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isu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rendahnya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akses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literasi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minimnya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konten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kesetaraan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di media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publik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).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Integrasikan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RKPD,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Renstra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Renja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DISKOMINFO,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termasuk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isu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strategis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sasaran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indikator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kinerja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Pastikan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kebijakan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teknologi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mendukung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kesetaraan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Aksi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Workshop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komunitas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 dan media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lokal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target 100%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responsif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Tanggung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Jawab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: Tim Gender Focal Point.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Bukti </w:t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Dukung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Renja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analisis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lampiran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isu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Indikator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Target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Persentase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responsif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&gt;90%.</w:t>
      </w:r>
    </w:p>
    <w:p w14:paraId="2C659BE1" w14:textId="77777777" w:rsidR="00542A18" w:rsidRPr="00542A18" w:rsidRDefault="00542A18" w:rsidP="00542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Langkah 2.2: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Dorong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Penganggaran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Responsif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Gender (ARG)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Susun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Budget Statement (GBS)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literasi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kampanye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kesetaraan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melalui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media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sosial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atau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pengembangan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aplikasi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daerah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ramah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gender.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Alokasikan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ARG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Rp 50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juta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literasi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pastikan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peningkatan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tahun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sebelumnya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hitung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persentase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jumlah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ARG ÷ total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anggaran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DISKOMINFO × 100).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Fasilitasi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PD lain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menyusun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ARG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melalui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koordinasi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TAPD.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Aksi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Review RKA/DPA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integrasi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ARG, target ARG &gt;5%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dari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anggaran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dinas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Tanggung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Jawab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Seksi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Perencanaan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Penganggaran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Bukti </w:t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Dukung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TOR ARG, daftar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kegiatan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ARG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nilai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rupiah,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GBS.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Indikator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Target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Persentase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ARG &gt;80% program,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peningkatan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jumlah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sub-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kegiatan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ARG.</w:t>
      </w:r>
    </w:p>
    <w:p w14:paraId="5119C933" w14:textId="77777777" w:rsidR="00542A18" w:rsidRPr="00542A18" w:rsidRDefault="00542A18" w:rsidP="00542A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Langkah 2.3: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Tingkatkan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Pelaksanaan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Program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Pemberdayaan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Gender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Jalankan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responsif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literasi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penggunaan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aplikasi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daerah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kampanye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kesetaraan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melalui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website dan media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sosial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daerah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pengembangan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aplikasi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ramah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fitur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pelaporan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kekerasan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berbasis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gender).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Bangun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Lembaga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lastRenderedPageBreak/>
        <w:t>Penyedia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Layanan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Pemberdayaan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Perempuan (LPLPP) di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tingkat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DISKOMINFO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konseling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teknologi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gender-sensitive.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Libatkan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masyarakat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dunia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usaha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(startup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teknologi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), media,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akademisi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.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Dorong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partisipasi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laki-laki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melalui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seperti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“Digital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Siaga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”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mendukung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kesetaraan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Aksi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Kerja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sama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NGO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target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peningkatan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manfaat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bagi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&gt;50%.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Tanggung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Jawab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Seksi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Komunikasi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Publik.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Bukti </w:t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Dukung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output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jumlah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penerima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manfaat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dokumentasi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kegiatan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Indikator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Target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Persentase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program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komprehensif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&gt;90%.</w:t>
      </w:r>
    </w:p>
    <w:p w14:paraId="654887C9" w14:textId="77777777" w:rsidR="00542A18" w:rsidRPr="00542A18" w:rsidRDefault="00542A18" w:rsidP="00542A18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3.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Tahap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Monitoring dan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Evaluasi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(Bulan 10-12 dan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Berkelanjutan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Pastikan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Keberlanjutan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APE)</w:t>
      </w:r>
    </w:p>
    <w:p w14:paraId="2A8E1731" w14:textId="77777777" w:rsidR="00542A18" w:rsidRPr="00542A18" w:rsidRDefault="00542A18" w:rsidP="00542A18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Tujuan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Memenuhi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indikator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pemantauan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hingga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pelaporan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kontribusi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skor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kabupaten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281C7F3B" w14:textId="77777777" w:rsidR="00542A18" w:rsidRPr="00542A18" w:rsidRDefault="00542A18" w:rsidP="00542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Langkah 3.1: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Lakukan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Pemantauan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dan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Evaluasi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Berkala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Pantau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outcome program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menggunakan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indikator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gender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peningkatan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partisipasi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dalam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literasi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jumlah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audiens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perempuan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kampanye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kesetaraan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).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Gunakan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evaluasi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Aksi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Rapat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bulanan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focal point,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validasi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di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komunitas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 dan media.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Tanggung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Jawab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Seksi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Pemantauan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Evaluasi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Bukti </w:t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Dukung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evaluasi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</w:p>
    <w:p w14:paraId="6849B866" w14:textId="77777777" w:rsidR="00542A18" w:rsidRPr="00542A18" w:rsidRDefault="00542A18" w:rsidP="00542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Langkah 3.2: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Perkuat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Pengawasan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dan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Pelaporan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Integrasikan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pengawasan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audit internal (APIP),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susun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tahunan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DINSOSPPPA dan Kemen PPPA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input APE 2025.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Pastikan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mencakup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persentase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ARG dan data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Aksi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Pokja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PUG, target 100%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tepat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waktu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Tanggung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Jawab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Kepala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DISKOMINFO.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Bukti </w:t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Dukung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Laporan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pelaksanaan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bukti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outcome.</w:t>
      </w:r>
    </w:p>
    <w:p w14:paraId="6F340335" w14:textId="77777777" w:rsidR="00542A18" w:rsidRPr="00542A18" w:rsidRDefault="00542A18" w:rsidP="00542A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Langkah 3.3: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Evaluasi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dan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Penyesuaian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Tahunan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  <w:t xml:space="preserve">Review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kontribusi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terhadap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identifikasi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gap (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misalnya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rendahnya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terpilah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),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sesuaikan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rencana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Aksi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Workshop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akhir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tahun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target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peningkatan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skor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20-30%.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br/>
      </w:r>
      <w:proofErr w:type="spellStart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>Tanggung</w:t>
      </w:r>
      <w:proofErr w:type="spellEnd"/>
      <w:r w:rsidRPr="00542A18">
        <w:rPr>
          <w:rFonts w:ascii="Myriad Pro" w:eastAsia="Times New Roman" w:hAnsi="Myriad Pro" w:cs="Times New Roman"/>
          <w:i/>
          <w:iCs/>
          <w:kern w:val="0"/>
          <w:lang w:eastAsia="en-ID"/>
          <w14:ligatures w14:val="none"/>
        </w:rPr>
        <w:t xml:space="preserve"> Jawab</w:t>
      </w:r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Seluruh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tim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DISKOMINFO.</w:t>
      </w:r>
    </w:p>
    <w:p w14:paraId="396C0682" w14:textId="77777777" w:rsidR="00542A18" w:rsidRPr="00542A18" w:rsidRDefault="00542A18" w:rsidP="00542A18">
      <w:pPr>
        <w:spacing w:before="100" w:beforeAutospacing="1" w:after="100" w:afterAutospacing="1" w:line="240" w:lineRule="auto"/>
        <w:outlineLvl w:val="1"/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</w:pP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Rekomendasi</w:t>
      </w:r>
      <w:proofErr w:type="spellEnd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sz w:val="36"/>
          <w:szCs w:val="36"/>
          <w:lang w:eastAsia="en-ID"/>
          <w14:ligatures w14:val="none"/>
        </w:rPr>
        <w:t>Tambahan</w:t>
      </w:r>
      <w:proofErr w:type="spellEnd"/>
    </w:p>
    <w:p w14:paraId="0042859E" w14:textId="77777777" w:rsidR="00542A18" w:rsidRPr="00542A18" w:rsidRDefault="00542A18" w:rsidP="00542A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Kolaborasi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Kerja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sama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Kemen PPPA, Kementerian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Komunikasi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dan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Informatika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BPS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data, dan NGO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pelatihan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literasi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digital.</w:t>
      </w:r>
    </w:p>
    <w:p w14:paraId="130CB074" w14:textId="77777777" w:rsidR="00542A18" w:rsidRPr="00542A18" w:rsidRDefault="00542A18" w:rsidP="00542A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Anggaran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Alokasikan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10%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anggaran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dinas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PUG.</w:t>
      </w:r>
    </w:p>
    <w:p w14:paraId="68DA1281" w14:textId="77777777" w:rsidR="00542A18" w:rsidRDefault="00542A18" w:rsidP="00542A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 xml:space="preserve">Monitoring </w:t>
      </w:r>
      <w:proofErr w:type="spellStart"/>
      <w:r w:rsidRPr="00542A18">
        <w:rPr>
          <w:rFonts w:ascii="Myriad Pro" w:eastAsia="Times New Roman" w:hAnsi="Myriad Pro" w:cs="Times New Roman"/>
          <w:b/>
          <w:bCs/>
          <w:kern w:val="0"/>
          <w:lang w:eastAsia="en-ID"/>
          <w14:ligatures w14:val="none"/>
        </w:rPr>
        <w:t>Progres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: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Gunakan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tabel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berikut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untuk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tracking internal:</w:t>
      </w:r>
    </w:p>
    <w:p w14:paraId="2CF6B32C" w14:textId="77777777" w:rsidR="00542A18" w:rsidRPr="00542A18" w:rsidRDefault="00542A18" w:rsidP="00542A18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2058"/>
        <w:gridCol w:w="2001"/>
        <w:gridCol w:w="1731"/>
        <w:gridCol w:w="2047"/>
        <w:gridCol w:w="1179"/>
      </w:tblGrid>
      <w:tr w:rsidR="00542A18" w:rsidRPr="00542A18" w14:paraId="3D3C4C49" w14:textId="77777777" w:rsidTr="00542A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04C832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lastRenderedPageBreak/>
              <w:t>Aspek</w:t>
            </w:r>
            <w:proofErr w:type="spellEnd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PUG</w:t>
            </w:r>
          </w:p>
        </w:tc>
        <w:tc>
          <w:tcPr>
            <w:tcW w:w="0" w:type="auto"/>
            <w:hideMark/>
          </w:tcPr>
          <w:p w14:paraId="7F80F057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Target </w:t>
            </w:r>
            <w:proofErr w:type="spellStart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Persentase</w:t>
            </w:r>
            <w:proofErr w:type="spellEnd"/>
          </w:p>
        </w:tc>
        <w:tc>
          <w:tcPr>
            <w:tcW w:w="0" w:type="auto"/>
            <w:hideMark/>
          </w:tcPr>
          <w:p w14:paraId="10913311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Progres</w:t>
            </w:r>
            <w:proofErr w:type="spellEnd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Saat Ini</w:t>
            </w:r>
          </w:p>
        </w:tc>
        <w:tc>
          <w:tcPr>
            <w:tcW w:w="0" w:type="auto"/>
            <w:hideMark/>
          </w:tcPr>
          <w:p w14:paraId="2D60D796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Aksi </w:t>
            </w:r>
            <w:proofErr w:type="spellStart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Korektif</w:t>
            </w:r>
            <w:proofErr w:type="spellEnd"/>
          </w:p>
        </w:tc>
        <w:tc>
          <w:tcPr>
            <w:tcW w:w="0" w:type="auto"/>
            <w:hideMark/>
          </w:tcPr>
          <w:p w14:paraId="773B691C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Deadline</w:t>
            </w:r>
          </w:p>
        </w:tc>
      </w:tr>
      <w:tr w:rsidR="00542A18" w:rsidRPr="00542A18" w14:paraId="32FCBCAB" w14:textId="77777777" w:rsidTr="0054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4762C3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SDM </w:t>
            </w:r>
            <w:proofErr w:type="spellStart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Terlatih</w:t>
            </w:r>
            <w:proofErr w:type="spellEnd"/>
          </w:p>
        </w:tc>
        <w:tc>
          <w:tcPr>
            <w:tcW w:w="0" w:type="auto"/>
            <w:hideMark/>
          </w:tcPr>
          <w:p w14:paraId="46A4AF4D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&gt;80%</w:t>
            </w:r>
          </w:p>
        </w:tc>
        <w:tc>
          <w:tcPr>
            <w:tcW w:w="0" w:type="auto"/>
            <w:hideMark/>
          </w:tcPr>
          <w:p w14:paraId="36E5FC5B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(Isi data)</w:t>
            </w:r>
          </w:p>
        </w:tc>
        <w:tc>
          <w:tcPr>
            <w:tcW w:w="0" w:type="auto"/>
            <w:hideMark/>
          </w:tcPr>
          <w:p w14:paraId="300F11AA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Pelatihan</w:t>
            </w:r>
            <w:proofErr w:type="spellEnd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</w:t>
            </w:r>
            <w:proofErr w:type="spellStart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tambahan</w:t>
            </w:r>
            <w:proofErr w:type="spellEnd"/>
          </w:p>
        </w:tc>
        <w:tc>
          <w:tcPr>
            <w:tcW w:w="0" w:type="auto"/>
            <w:hideMark/>
          </w:tcPr>
          <w:p w14:paraId="4D258218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Bulan 3</w:t>
            </w:r>
          </w:p>
        </w:tc>
      </w:tr>
      <w:tr w:rsidR="00542A18" w:rsidRPr="00542A18" w14:paraId="6B723328" w14:textId="77777777" w:rsidTr="00542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DEBFD1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Data </w:t>
            </w:r>
            <w:proofErr w:type="spellStart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Terpilah</w:t>
            </w:r>
            <w:proofErr w:type="spellEnd"/>
          </w:p>
        </w:tc>
        <w:tc>
          <w:tcPr>
            <w:tcW w:w="0" w:type="auto"/>
            <w:hideMark/>
          </w:tcPr>
          <w:p w14:paraId="10718AA6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&gt;90%</w:t>
            </w:r>
          </w:p>
        </w:tc>
        <w:tc>
          <w:tcPr>
            <w:tcW w:w="0" w:type="auto"/>
            <w:hideMark/>
          </w:tcPr>
          <w:p w14:paraId="6EE0ADFC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(Isi data)</w:t>
            </w:r>
          </w:p>
        </w:tc>
        <w:tc>
          <w:tcPr>
            <w:tcW w:w="0" w:type="auto"/>
            <w:hideMark/>
          </w:tcPr>
          <w:p w14:paraId="3C7F98C7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Validasi</w:t>
            </w:r>
            <w:proofErr w:type="spellEnd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data</w:t>
            </w:r>
          </w:p>
        </w:tc>
        <w:tc>
          <w:tcPr>
            <w:tcW w:w="0" w:type="auto"/>
            <w:hideMark/>
          </w:tcPr>
          <w:p w14:paraId="0614EA6E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Bulan 6</w:t>
            </w:r>
          </w:p>
        </w:tc>
      </w:tr>
      <w:tr w:rsidR="00542A18" w:rsidRPr="00542A18" w14:paraId="76D5D6F9" w14:textId="77777777" w:rsidTr="00542A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218463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ARG</w:t>
            </w:r>
          </w:p>
        </w:tc>
        <w:tc>
          <w:tcPr>
            <w:tcW w:w="0" w:type="auto"/>
            <w:hideMark/>
          </w:tcPr>
          <w:p w14:paraId="7BE0915E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&gt;5% </w:t>
            </w:r>
            <w:proofErr w:type="spellStart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Anggaran</w:t>
            </w:r>
            <w:proofErr w:type="spellEnd"/>
          </w:p>
        </w:tc>
        <w:tc>
          <w:tcPr>
            <w:tcW w:w="0" w:type="auto"/>
            <w:hideMark/>
          </w:tcPr>
          <w:p w14:paraId="7135C752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(Isi data)</w:t>
            </w:r>
          </w:p>
        </w:tc>
        <w:tc>
          <w:tcPr>
            <w:tcW w:w="0" w:type="auto"/>
            <w:hideMark/>
          </w:tcPr>
          <w:p w14:paraId="372C7E84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Review </w:t>
            </w:r>
            <w:proofErr w:type="spellStart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anggaran</w:t>
            </w:r>
            <w:proofErr w:type="spellEnd"/>
          </w:p>
        </w:tc>
        <w:tc>
          <w:tcPr>
            <w:tcW w:w="0" w:type="auto"/>
            <w:hideMark/>
          </w:tcPr>
          <w:p w14:paraId="40FE4CD1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Bulan 9</w:t>
            </w:r>
          </w:p>
        </w:tc>
      </w:tr>
      <w:tr w:rsidR="00542A18" w:rsidRPr="00542A18" w14:paraId="11EC011D" w14:textId="77777777" w:rsidTr="00542A1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A501A0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Program </w:t>
            </w:r>
            <w:proofErr w:type="spellStart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Responsif</w:t>
            </w:r>
            <w:proofErr w:type="spellEnd"/>
          </w:p>
        </w:tc>
        <w:tc>
          <w:tcPr>
            <w:tcW w:w="0" w:type="auto"/>
            <w:hideMark/>
          </w:tcPr>
          <w:p w14:paraId="493C11A5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&gt;90%</w:t>
            </w:r>
          </w:p>
        </w:tc>
        <w:tc>
          <w:tcPr>
            <w:tcW w:w="0" w:type="auto"/>
            <w:hideMark/>
          </w:tcPr>
          <w:p w14:paraId="207DBB76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(Isi data)</w:t>
            </w:r>
          </w:p>
        </w:tc>
        <w:tc>
          <w:tcPr>
            <w:tcW w:w="0" w:type="auto"/>
            <w:hideMark/>
          </w:tcPr>
          <w:p w14:paraId="128D7383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proofErr w:type="spellStart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Analisis</w:t>
            </w:r>
            <w:proofErr w:type="spellEnd"/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 xml:space="preserve"> GAP</w:t>
            </w:r>
          </w:p>
        </w:tc>
        <w:tc>
          <w:tcPr>
            <w:tcW w:w="0" w:type="auto"/>
            <w:hideMark/>
          </w:tcPr>
          <w:p w14:paraId="579533AB" w14:textId="77777777" w:rsidR="00542A18" w:rsidRPr="00542A18" w:rsidRDefault="00542A18" w:rsidP="00542A18">
            <w:pPr>
              <w:spacing w:before="100" w:beforeAutospacing="1" w:after="100" w:after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</w:pPr>
            <w:r w:rsidRPr="00542A18">
              <w:rPr>
                <w:rFonts w:ascii="Myriad Pro" w:eastAsia="Times New Roman" w:hAnsi="Myriad Pro" w:cs="Times New Roman"/>
                <w:kern w:val="0"/>
                <w:lang w:eastAsia="en-ID"/>
                <w14:ligatures w14:val="none"/>
              </w:rPr>
              <w:t>Bulan 12</w:t>
            </w:r>
          </w:p>
        </w:tc>
      </w:tr>
    </w:tbl>
    <w:p w14:paraId="25F36EC8" w14:textId="77777777" w:rsidR="00542A18" w:rsidRPr="00542A18" w:rsidRDefault="00542A18" w:rsidP="00542A18">
      <w:pPr>
        <w:spacing w:before="100" w:beforeAutospacing="1" w:after="100" w:afterAutospacing="1" w:line="240" w:lineRule="auto"/>
        <w:rPr>
          <w:rFonts w:ascii="Myriad Pro" w:eastAsia="Times New Roman" w:hAnsi="Myriad Pro" w:cs="Times New Roman"/>
          <w:kern w:val="0"/>
          <w:lang w:eastAsia="en-ID"/>
          <w14:ligatures w14:val="none"/>
        </w:rPr>
      </w:pP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Dengan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langkah-langkah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ini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, DISKOMINFO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Bengkayang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dapat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mempercepat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PUG,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mendukung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Kabupaten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Bengkayang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meraih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APE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tingkat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</w:t>
      </w:r>
      <w:proofErr w:type="spellStart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>tinggi</w:t>
      </w:r>
      <w:proofErr w:type="spellEnd"/>
      <w:r w:rsidRPr="00542A18">
        <w:rPr>
          <w:rFonts w:ascii="Myriad Pro" w:eastAsia="Times New Roman" w:hAnsi="Myriad Pro" w:cs="Times New Roman"/>
          <w:kern w:val="0"/>
          <w:lang w:eastAsia="en-ID"/>
          <w14:ligatures w14:val="none"/>
        </w:rPr>
        <w:t xml:space="preserve"> pada 2025.</w:t>
      </w:r>
    </w:p>
    <w:p w14:paraId="356EB957" w14:textId="77777777" w:rsidR="001B38C5" w:rsidRPr="00542A18" w:rsidRDefault="001B38C5">
      <w:pPr>
        <w:rPr>
          <w:rFonts w:ascii="Myriad Pro" w:hAnsi="Myriad Pro"/>
        </w:rPr>
      </w:pPr>
    </w:p>
    <w:sectPr w:rsidR="001B38C5" w:rsidRPr="00542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C2C38"/>
    <w:multiLevelType w:val="multilevel"/>
    <w:tmpl w:val="25D4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B58F0"/>
    <w:multiLevelType w:val="multilevel"/>
    <w:tmpl w:val="5BF4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471540"/>
    <w:multiLevelType w:val="multilevel"/>
    <w:tmpl w:val="EF3C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C2DD0"/>
    <w:multiLevelType w:val="multilevel"/>
    <w:tmpl w:val="8B98B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2092151">
    <w:abstractNumId w:val="2"/>
  </w:num>
  <w:num w:numId="2" w16cid:durableId="524247576">
    <w:abstractNumId w:val="0"/>
  </w:num>
  <w:num w:numId="3" w16cid:durableId="618033330">
    <w:abstractNumId w:val="3"/>
  </w:num>
  <w:num w:numId="4" w16cid:durableId="375930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18"/>
    <w:rsid w:val="001B38C5"/>
    <w:rsid w:val="00542A18"/>
    <w:rsid w:val="00700124"/>
    <w:rsid w:val="009C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D8954"/>
  <w15:chartTrackingRefBased/>
  <w15:docId w15:val="{144AC29F-FA83-42FD-97C4-568218764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A18"/>
    <w:rPr>
      <w:b/>
      <w:bCs/>
      <w:smallCaps/>
      <w:color w:val="0F4761" w:themeColor="accent1" w:themeShade="BF"/>
      <w:spacing w:val="5"/>
    </w:rPr>
  </w:style>
  <w:style w:type="table" w:styleId="GridTable4-Accent5">
    <w:name w:val="Grid Table 4 Accent 5"/>
    <w:basedOn w:val="TableNormal"/>
    <w:uiPriority w:val="49"/>
    <w:rsid w:val="00542A18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6411</Characters>
  <Application>Microsoft Office Word</Application>
  <DocSecurity>0</DocSecurity>
  <Lines>53</Lines>
  <Paragraphs>15</Paragraphs>
  <ScaleCrop>false</ScaleCrop>
  <Company/>
  <LinksUpToDate>false</LinksUpToDate>
  <CharactersWithSpaces>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acercc050425@outlook.com</dc:creator>
  <cp:keywords/>
  <dc:description/>
  <cp:lastModifiedBy>acercc050425@outlook.com</cp:lastModifiedBy>
  <cp:revision>1</cp:revision>
  <dcterms:created xsi:type="dcterms:W3CDTF">2025-09-03T08:42:00Z</dcterms:created>
  <dcterms:modified xsi:type="dcterms:W3CDTF">2025-09-03T08:43:00Z</dcterms:modified>
</cp:coreProperties>
</file>