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B758" w14:textId="77777777" w:rsidR="00732CAD" w:rsidRDefault="00732CAD" w:rsidP="00732CAD">
      <w:pPr>
        <w:widowControl w:val="0"/>
        <w:pBdr>
          <w:top w:val="nil"/>
          <w:left w:val="nil"/>
          <w:bottom w:val="nil"/>
          <w:right w:val="nil"/>
          <w:between w:val="nil"/>
        </w:pBdr>
        <w:spacing w:after="120" w:line="275" w:lineRule="auto"/>
        <w:outlineLvl w:val="0"/>
        <w:rPr>
          <w:rFonts w:ascii="Google Sans" w:eastAsia="Google Sans" w:hAnsi="Google Sans" w:cs="Google Sans"/>
          <w:b/>
          <w:bCs/>
          <w:color w:val="1F1F1F"/>
          <w:kern w:val="0"/>
          <w:sz w:val="48"/>
          <w:szCs w:val="48"/>
          <w:lang w:eastAsia="en-IN"/>
          <w14:ligatures w14:val="none"/>
        </w:rPr>
      </w:pPr>
      <w:r w:rsidRPr="00732CAD">
        <w:rPr>
          <w:rFonts w:ascii="Google Sans" w:eastAsia="Google Sans" w:hAnsi="Google Sans" w:cs="Google Sans"/>
          <w:b/>
          <w:bCs/>
          <w:color w:val="1F1F1F"/>
          <w:kern w:val="0"/>
          <w:sz w:val="48"/>
          <w:szCs w:val="48"/>
          <w:lang w:eastAsia="en-IN"/>
          <w14:ligatures w14:val="none"/>
        </w:rPr>
        <w:t>Forensic Evolution of the CLAT PG Examination (2020–2026) and Comprehensive Strategic Mock Paper for 2027</w:t>
      </w:r>
    </w:p>
    <w:p w14:paraId="4B2F4DB0" w14:textId="47EAFB51" w:rsidR="00623030" w:rsidRDefault="00623030" w:rsidP="00732CAD">
      <w:pPr>
        <w:widowControl w:val="0"/>
        <w:pBdr>
          <w:top w:val="nil"/>
          <w:left w:val="nil"/>
          <w:bottom w:val="nil"/>
          <w:right w:val="nil"/>
          <w:between w:val="nil"/>
        </w:pBdr>
        <w:spacing w:after="120" w:line="275" w:lineRule="auto"/>
        <w:outlineLvl w:val="0"/>
        <w:rPr>
          <w:rFonts w:ascii="Google Sans" w:eastAsia="Google Sans" w:hAnsi="Google Sans" w:cs="Google Sans"/>
          <w:b/>
          <w:bCs/>
          <w:color w:val="1F1F1F"/>
          <w:kern w:val="0"/>
          <w:sz w:val="48"/>
          <w:szCs w:val="48"/>
          <w:lang w:eastAsia="en-IN"/>
          <w14:ligatures w14:val="none"/>
        </w:rPr>
      </w:pPr>
      <w:r>
        <w:rPr>
          <w:rFonts w:ascii="Google Sans" w:eastAsia="Google Sans" w:hAnsi="Google Sans" w:cs="Google Sans"/>
          <w:b/>
          <w:bCs/>
          <w:color w:val="1F1F1F"/>
          <w:kern w:val="0"/>
          <w:sz w:val="48"/>
          <w:szCs w:val="48"/>
          <w:lang w:eastAsia="en-IN"/>
          <w14:ligatures w14:val="none"/>
        </w:rPr>
        <w:t>BY BEYONDCLAT/AIR100</w:t>
      </w:r>
    </w:p>
    <w:p w14:paraId="635B5DC8" w14:textId="7C06C083" w:rsidR="00623030" w:rsidRPr="00732CAD" w:rsidRDefault="00623030" w:rsidP="00732CAD">
      <w:pPr>
        <w:widowControl w:val="0"/>
        <w:pBdr>
          <w:top w:val="nil"/>
          <w:left w:val="nil"/>
          <w:bottom w:val="nil"/>
          <w:right w:val="nil"/>
          <w:between w:val="nil"/>
        </w:pBdr>
        <w:spacing w:after="120" w:line="275" w:lineRule="auto"/>
        <w:outlineLvl w:val="0"/>
        <w:rPr>
          <w:rFonts w:ascii="Google Sans" w:eastAsia="Google Sans" w:hAnsi="Google Sans" w:cs="Google Sans"/>
          <w:b/>
          <w:bCs/>
          <w:color w:val="1F1F1F"/>
          <w:kern w:val="0"/>
          <w:sz w:val="48"/>
          <w:szCs w:val="48"/>
          <w:lang w:eastAsia="en-IN"/>
          <w14:ligatures w14:val="none"/>
        </w:rPr>
      </w:pPr>
      <w:r>
        <w:rPr>
          <w:rFonts w:ascii="Google Sans" w:eastAsia="Google Sans" w:hAnsi="Google Sans" w:cs="Google Sans"/>
          <w:b/>
          <w:bCs/>
          <w:color w:val="1F1F1F"/>
          <w:kern w:val="0"/>
          <w:sz w:val="48"/>
          <w:szCs w:val="48"/>
          <w:lang w:eastAsia="en-IN"/>
          <w14:ligatures w14:val="none"/>
        </w:rPr>
        <w:t xml:space="preserve">FOR MORE- JOIN OUR TG GROUP </w:t>
      </w:r>
      <w:hyperlink r:id="rId8" w:history="1">
        <w:r w:rsidRPr="00623030">
          <w:rPr>
            <w:rStyle w:val="Hyperlink"/>
            <w:rFonts w:ascii="Google Sans" w:eastAsia="Google Sans" w:hAnsi="Google Sans" w:cs="Google Sans"/>
            <w:b/>
            <w:bCs/>
            <w:kern w:val="0"/>
            <w:sz w:val="48"/>
            <w:szCs w:val="48"/>
            <w:lang w:eastAsia="en-IN"/>
            <w14:ligatures w14:val="none"/>
          </w:rPr>
          <w:t>@CLATPG27</w:t>
        </w:r>
      </w:hyperlink>
    </w:p>
    <w:p w14:paraId="731E73CC" w14:textId="77777777" w:rsidR="00732CAD" w:rsidRPr="00732CAD" w:rsidRDefault="00732CAD" w:rsidP="00732CAD">
      <w:pPr>
        <w:widowControl w:val="0"/>
        <w:pBdr>
          <w:top w:val="nil"/>
          <w:left w:val="nil"/>
          <w:bottom w:val="nil"/>
          <w:right w:val="nil"/>
          <w:between w:val="nil"/>
        </w:pBdr>
        <w:spacing w:after="24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The postgraduate Common Law Admission Test (CLAT PG) has undergone a fundamental metamorphosis since its structural overhaul in 2020, transitioning from a test of rote statutory memorization to a sophisticated assessment of legal interpretation, systemic insight, and analytical reasoning.</w:t>
      </w:r>
      <w:r w:rsidRPr="00732CAD">
        <w:rPr>
          <w:rFonts w:ascii="Google Sans Text" w:eastAsia="Google Sans Text" w:hAnsi="Google Sans Text" w:cs="Google Sans Text"/>
          <w:color w:val="444746"/>
          <w:kern w:val="0"/>
          <w:sz w:val="24"/>
          <w:szCs w:val="24"/>
          <w:vertAlign w:val="superscript"/>
          <w:lang w:eastAsia="en-IN"/>
          <w14:ligatures w14:val="none"/>
        </w:rPr>
        <w:t>1</w:t>
      </w:r>
      <w:r w:rsidRPr="00732CAD">
        <w:rPr>
          <w:rFonts w:ascii="Google Sans Text" w:eastAsia="Google Sans Text" w:hAnsi="Google Sans Text" w:cs="Google Sans Text"/>
          <w:color w:val="1F1F1F"/>
          <w:kern w:val="0"/>
          <w:lang w:eastAsia="en-IN"/>
          <w14:ligatures w14:val="none"/>
        </w:rPr>
        <w:t xml:space="preserve"> This evolution reflects a broader objective by the Consortium of National Law Universities (NLUs) to identify candidates who possess the conceptual maturity required for advanced legal research and specialized practice.</w:t>
      </w:r>
      <w:r w:rsidRPr="00732CAD">
        <w:rPr>
          <w:rFonts w:ascii="Google Sans Text" w:eastAsia="Google Sans Text" w:hAnsi="Google Sans Text" w:cs="Google Sans Text"/>
          <w:color w:val="444746"/>
          <w:kern w:val="0"/>
          <w:sz w:val="24"/>
          <w:szCs w:val="24"/>
          <w:vertAlign w:val="superscript"/>
          <w:lang w:eastAsia="en-IN"/>
          <w14:ligatures w14:val="none"/>
        </w:rPr>
        <w:t>1</w:t>
      </w:r>
      <w:r w:rsidRPr="00732CAD">
        <w:rPr>
          <w:rFonts w:ascii="Google Sans Text" w:eastAsia="Google Sans Text" w:hAnsi="Google Sans Text" w:cs="Google Sans Text"/>
          <w:color w:val="1F1F1F"/>
          <w:kern w:val="0"/>
          <w:lang w:eastAsia="en-IN"/>
          <w14:ligatures w14:val="none"/>
        </w:rPr>
        <w:t xml:space="preserve"> By </w:t>
      </w:r>
      <w:proofErr w:type="spellStart"/>
      <w:r w:rsidRPr="00732CAD">
        <w:rPr>
          <w:rFonts w:ascii="Google Sans Text" w:eastAsia="Google Sans Text" w:hAnsi="Google Sans Text" w:cs="Google Sans Text"/>
          <w:color w:val="1F1F1F"/>
          <w:kern w:val="0"/>
          <w:lang w:eastAsia="en-IN"/>
          <w14:ligatures w14:val="none"/>
        </w:rPr>
        <w:t>analyzing</w:t>
      </w:r>
      <w:proofErr w:type="spellEnd"/>
      <w:r w:rsidRPr="00732CAD">
        <w:rPr>
          <w:rFonts w:ascii="Google Sans Text" w:eastAsia="Google Sans Text" w:hAnsi="Google Sans Text" w:cs="Google Sans Text"/>
          <w:color w:val="1F1F1F"/>
          <w:kern w:val="0"/>
          <w:lang w:eastAsia="en-IN"/>
          <w14:ligatures w14:val="none"/>
        </w:rPr>
        <w:t xml:space="preserve"> the trajectory of the examination from 2020 to the most recent iteration in 2026, it is possible to construct a high-fidelity predictive model for the 2027 examination cycle.</w:t>
      </w:r>
    </w:p>
    <w:p w14:paraId="724D483A" w14:textId="77777777" w:rsidR="00732CAD" w:rsidRPr="00732CAD" w:rsidRDefault="00732CAD" w:rsidP="00732CAD">
      <w:pPr>
        <w:widowControl w:val="0"/>
        <w:pBdr>
          <w:top w:val="nil"/>
          <w:left w:val="nil"/>
          <w:bottom w:val="nil"/>
          <w:right w:val="nil"/>
          <w:between w:val="nil"/>
        </w:pBdr>
        <w:spacing w:after="120" w:line="275" w:lineRule="auto"/>
        <w:outlineLvl w:val="1"/>
        <w:rPr>
          <w:rFonts w:ascii="Google Sans" w:eastAsia="Google Sans" w:hAnsi="Google Sans" w:cs="Google Sans"/>
          <w:b/>
          <w:bCs/>
          <w:color w:val="1F1F1F"/>
          <w:kern w:val="0"/>
          <w:sz w:val="36"/>
          <w:szCs w:val="36"/>
          <w:lang w:eastAsia="en-IN"/>
          <w14:ligatures w14:val="none"/>
        </w:rPr>
      </w:pPr>
      <w:r w:rsidRPr="00732CAD">
        <w:rPr>
          <w:rFonts w:ascii="Google Sans" w:eastAsia="Google Sans" w:hAnsi="Google Sans" w:cs="Google Sans"/>
          <w:b/>
          <w:bCs/>
          <w:color w:val="1F1F1F"/>
          <w:kern w:val="0"/>
          <w:sz w:val="36"/>
          <w:szCs w:val="36"/>
          <w:lang w:eastAsia="en-IN"/>
          <w14:ligatures w14:val="none"/>
        </w:rPr>
        <w:t>Longitudinal Analysis of Structural and Qualitative Shifts (2020–2026)</w:t>
      </w:r>
    </w:p>
    <w:p w14:paraId="19D8C14C" w14:textId="77777777" w:rsidR="00732CAD" w:rsidRPr="00732CAD" w:rsidRDefault="00732CAD" w:rsidP="00732CAD">
      <w:pPr>
        <w:widowControl w:val="0"/>
        <w:pBdr>
          <w:top w:val="nil"/>
          <w:left w:val="nil"/>
          <w:bottom w:val="nil"/>
          <w:right w:val="nil"/>
          <w:between w:val="nil"/>
        </w:pBdr>
        <w:spacing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1F1F1F"/>
          <w:kern w:val="0"/>
          <w:lang w:eastAsia="en-IN"/>
          <w14:ligatures w14:val="none"/>
        </w:rPr>
        <w:t>The chronological progression of CLAT PG reveals a consistent trend toward increasing complexity and interdisciplinary integration. In 2020, the paper introduced the comprehension-based format, primarily utilizing Supreme Court judgments to test principle-based reasoning.</w:t>
      </w:r>
      <w:r w:rsidRPr="00732CAD">
        <w:rPr>
          <w:rFonts w:ascii="Google Sans Text" w:eastAsia="Google Sans Text" w:hAnsi="Google Sans Text" w:cs="Google Sans Text"/>
          <w:color w:val="444746"/>
          <w:kern w:val="0"/>
          <w:sz w:val="24"/>
          <w:szCs w:val="24"/>
          <w:vertAlign w:val="superscript"/>
          <w:lang w:eastAsia="en-IN"/>
          <w14:ligatures w14:val="none"/>
        </w:rPr>
        <w:t>1</w:t>
      </w:r>
      <w:r w:rsidRPr="00732CAD">
        <w:rPr>
          <w:rFonts w:ascii="Google Sans Text" w:eastAsia="Google Sans Text" w:hAnsi="Google Sans Text" w:cs="Google Sans Text"/>
          <w:color w:val="1F1F1F"/>
          <w:kern w:val="0"/>
          <w:lang w:eastAsia="en-IN"/>
          <w14:ligatures w14:val="none"/>
        </w:rPr>
        <w:t xml:space="preserve"> By 2021, the difficulty escalated with a heavy emphasis on jurisprudence and theoretical underpinnings, particularly the intersection of legal positivism and constitutional morality.</w:t>
      </w:r>
      <w:r w:rsidRPr="00732CAD">
        <w:rPr>
          <w:rFonts w:ascii="Google Sans Text" w:eastAsia="Google Sans Text" w:hAnsi="Google Sans Text" w:cs="Google Sans Text"/>
          <w:color w:val="444746"/>
          <w:kern w:val="0"/>
          <w:sz w:val="24"/>
          <w:szCs w:val="24"/>
          <w:vertAlign w:val="superscript"/>
          <w:lang w:eastAsia="en-IN"/>
          <w14:ligatures w14:val="none"/>
        </w:rPr>
        <w:t>4</w:t>
      </w:r>
      <w:r w:rsidRPr="00732CAD">
        <w:rPr>
          <w:rFonts w:ascii="Google Sans Text" w:eastAsia="Google Sans Text" w:hAnsi="Google Sans Text" w:cs="Google Sans Text"/>
          <w:color w:val="1F1F1F"/>
          <w:kern w:val="0"/>
          <w:lang w:eastAsia="en-IN"/>
          <w14:ligatures w14:val="none"/>
        </w:rPr>
        <w:t xml:space="preserve"> The 2022 and 2023 papers maintained a focus on topical judgments but began integrating policy reports and international law developments, particularly around Environmental, Social, and Governance (ESG) standards.</w:t>
      </w:r>
      <w:r w:rsidRPr="00732CAD">
        <w:rPr>
          <w:rFonts w:ascii="Google Sans Text" w:eastAsia="Google Sans Text" w:hAnsi="Google Sans Text" w:cs="Google Sans Text"/>
          <w:color w:val="444746"/>
          <w:kern w:val="0"/>
          <w:sz w:val="24"/>
          <w:szCs w:val="24"/>
          <w:vertAlign w:val="superscript"/>
          <w:lang w:eastAsia="en-IN"/>
          <w14:ligatures w14:val="none"/>
        </w:rPr>
        <w:t>1</w:t>
      </w:r>
    </w:p>
    <w:p w14:paraId="2B7C4D90" w14:textId="77777777" w:rsidR="00732CAD" w:rsidRPr="00732CAD" w:rsidRDefault="00732CAD" w:rsidP="00732CAD">
      <w:pPr>
        <w:widowControl w:val="0"/>
        <w:pBdr>
          <w:top w:val="nil"/>
          <w:left w:val="nil"/>
          <w:bottom w:val="nil"/>
          <w:right w:val="nil"/>
          <w:between w:val="nil"/>
        </w:pBdr>
        <w:spacing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1F1F1F"/>
          <w:kern w:val="0"/>
          <w:lang w:eastAsia="en-IN"/>
          <w14:ligatures w14:val="none"/>
        </w:rPr>
        <w:t>The 2024 paper marked a definitive shift with the introduction of the 24-passage format, which significantly increased the reading load and necessitated superior time-management skills.</w:t>
      </w:r>
      <w:r w:rsidRPr="00732CAD">
        <w:rPr>
          <w:rFonts w:ascii="Google Sans Text" w:eastAsia="Google Sans Text" w:hAnsi="Google Sans Text" w:cs="Google Sans Text"/>
          <w:color w:val="444746"/>
          <w:kern w:val="0"/>
          <w:sz w:val="24"/>
          <w:szCs w:val="24"/>
          <w:vertAlign w:val="superscript"/>
          <w:lang w:eastAsia="en-IN"/>
          <w14:ligatures w14:val="none"/>
        </w:rPr>
        <w:t>5</w:t>
      </w:r>
      <w:r w:rsidRPr="00732CAD">
        <w:rPr>
          <w:rFonts w:ascii="Google Sans Text" w:eastAsia="Google Sans Text" w:hAnsi="Google Sans Text" w:cs="Google Sans Text"/>
          <w:color w:val="1F1F1F"/>
          <w:kern w:val="0"/>
          <w:lang w:eastAsia="en-IN"/>
          <w14:ligatures w14:val="none"/>
        </w:rPr>
        <w:t xml:space="preserve"> This iteration also saw an aggressive expansion into corporate and regulatory domains, testing complex shareholder disputes and securities regulations.</w:t>
      </w:r>
      <w:r w:rsidRPr="00732CAD">
        <w:rPr>
          <w:rFonts w:ascii="Google Sans Text" w:eastAsia="Google Sans Text" w:hAnsi="Google Sans Text" w:cs="Google Sans Text"/>
          <w:color w:val="444746"/>
          <w:kern w:val="0"/>
          <w:sz w:val="24"/>
          <w:szCs w:val="24"/>
          <w:vertAlign w:val="superscript"/>
          <w:lang w:eastAsia="en-IN"/>
          <w14:ligatures w14:val="none"/>
        </w:rPr>
        <w:t>1</w:t>
      </w:r>
      <w:r w:rsidRPr="00732CAD">
        <w:rPr>
          <w:rFonts w:ascii="Google Sans Text" w:eastAsia="Google Sans Text" w:hAnsi="Google Sans Text" w:cs="Google Sans Text"/>
          <w:color w:val="1F1F1F"/>
          <w:kern w:val="0"/>
          <w:lang w:eastAsia="en-IN"/>
          <w14:ligatures w14:val="none"/>
        </w:rPr>
        <w:t xml:space="preserve"> The 2025 and 2026 papers solidified this systemic approach, with the 2026 paper specifically highlighting the transition to the new criminal law framework (BNS, BNSS, and BSA) and emerging digital jurisprudence following the Digital Personal Data Protection (DPDP) Act of 2023.</w:t>
      </w:r>
      <w:r w:rsidRPr="00732CAD">
        <w:rPr>
          <w:rFonts w:ascii="Google Sans Text" w:eastAsia="Google Sans Text" w:hAnsi="Google Sans Text" w:cs="Google Sans Text"/>
          <w:color w:val="444746"/>
          <w:kern w:val="0"/>
          <w:sz w:val="24"/>
          <w:szCs w:val="24"/>
          <w:vertAlign w:val="superscript"/>
          <w:lang w:eastAsia="en-IN"/>
          <w14:ligatures w14:val="none"/>
        </w:rPr>
        <w:t>7</w:t>
      </w:r>
    </w:p>
    <w:p w14:paraId="5AB855B1" w14:textId="77777777" w:rsidR="00732CAD" w:rsidRPr="00732CAD" w:rsidRDefault="00732CAD" w:rsidP="00732CAD">
      <w:pPr>
        <w:widowControl w:val="0"/>
        <w:pBdr>
          <w:top w:val="nil"/>
          <w:left w:val="nil"/>
          <w:bottom w:val="nil"/>
          <w:right w:val="nil"/>
          <w:between w:val="nil"/>
        </w:pBdr>
        <w:spacing w:after="120" w:line="275" w:lineRule="auto"/>
        <w:outlineLvl w:val="2"/>
        <w:rPr>
          <w:rFonts w:ascii="Google Sans" w:eastAsia="Google Sans" w:hAnsi="Google Sans" w:cs="Google Sans"/>
          <w:b/>
          <w:bCs/>
          <w:color w:val="1F1F1F"/>
          <w:kern w:val="0"/>
          <w:sz w:val="28"/>
          <w:szCs w:val="28"/>
          <w:lang w:eastAsia="en-IN"/>
          <w14:ligatures w14:val="none"/>
        </w:rPr>
      </w:pPr>
      <w:r w:rsidRPr="00732CAD">
        <w:rPr>
          <w:rFonts w:ascii="Google Sans" w:eastAsia="Google Sans" w:hAnsi="Google Sans" w:cs="Google Sans"/>
          <w:b/>
          <w:bCs/>
          <w:color w:val="1F1F1F"/>
          <w:kern w:val="0"/>
          <w:sz w:val="28"/>
          <w:szCs w:val="28"/>
          <w:lang w:eastAsia="en-IN"/>
          <w14:ligatures w14:val="none"/>
        </w:rPr>
        <w:lastRenderedPageBreak/>
        <w:t>Table 1: Comparative Year-Wise Difficulty and Focal Domains</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2"/>
        <w:gridCol w:w="1872"/>
        <w:gridCol w:w="1872"/>
        <w:gridCol w:w="1872"/>
        <w:gridCol w:w="1872"/>
      </w:tblGrid>
      <w:tr w:rsidR="00732CAD" w:rsidRPr="00732CAD" w14:paraId="0104E725" w14:textId="77777777" w:rsidTr="00D23A1D">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CBC52F8"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Exam Year</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C7F4F9"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Primary Source Material</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0DB81F"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Dominant Question Type</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5D318F"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Difficulty Rating</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4332E8"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Key Innovation</w:t>
            </w:r>
          </w:p>
        </w:tc>
      </w:tr>
      <w:tr w:rsidR="00732CAD" w:rsidRPr="00732CAD" w14:paraId="62AC6565" w14:textId="77777777" w:rsidTr="00D23A1D">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242965"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2020</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54CEF2"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Landmark Judgments</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941BA7"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Analytical Interpretation</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F5AFE2"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Moderate</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693F40"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Passage-based format intro</w:t>
            </w:r>
          </w:p>
        </w:tc>
      </w:tr>
      <w:tr w:rsidR="00732CAD" w:rsidRPr="00732CAD" w14:paraId="66A6522B" w14:textId="77777777" w:rsidTr="00D23A1D">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BACA28"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2021</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EA1AAD"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Jurisprudence + Case Law</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0E36E3"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Theoretical Application</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5C8CB7"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High</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8F11B0"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Heaviest focus on theorists</w:t>
            </w:r>
          </w:p>
        </w:tc>
      </w:tr>
      <w:tr w:rsidR="00732CAD" w:rsidRPr="00732CAD" w14:paraId="27AD5735" w14:textId="77777777" w:rsidTr="00D23A1D">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AB3588"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2022</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316A30"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Policy &amp; Topical Rulings</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C38DB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Contextual Reasoning</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20EDB1"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Moderate</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4B5FF7"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Environmental Law peak</w:t>
            </w:r>
          </w:p>
        </w:tc>
      </w:tr>
      <w:tr w:rsidR="00732CAD" w:rsidRPr="00732CAD" w14:paraId="54F04332" w14:textId="77777777" w:rsidTr="00D23A1D">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F742E1"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2023</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CD752D"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Mixed Statutory/Case Law</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15051B"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Factual + Analytical</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71BAC6"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Difficult</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16E8DD"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ESG and IPR integration</w:t>
            </w:r>
          </w:p>
        </w:tc>
      </w:tr>
      <w:tr w:rsidR="00732CAD" w:rsidRPr="00732CAD" w14:paraId="325611B4" w14:textId="77777777" w:rsidTr="00D23A1D">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4EB7FF"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2024</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F57B85"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Corporate/Taxation Cases</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290548B"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Integrated Commercial</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0806F4"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Easy-Moderate</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FF89CB"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24-passage format intro</w:t>
            </w:r>
          </w:p>
        </w:tc>
      </w:tr>
      <w:tr w:rsidR="00732CAD" w:rsidRPr="00732CAD" w14:paraId="33753FA5" w14:textId="77777777" w:rsidTr="00D23A1D">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F201E1"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2025</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3EE643"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Cyber/Privacy/SEBI</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1463CC"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Systemic Application</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453936"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Moderate</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B0BDFC"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Interdisciplinary focus</w:t>
            </w:r>
          </w:p>
        </w:tc>
      </w:tr>
      <w:tr w:rsidR="00732CAD" w:rsidRPr="00732CAD" w14:paraId="082A7DAB" w14:textId="77777777" w:rsidTr="00D23A1D">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176147"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2026</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FBAD71"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BNS Reforms/Minor Laws</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39C148"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Doctrine-centric</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B8E376"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Moderate-Difficult</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6FB0CE5"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New Criminal Laws intro</w:t>
            </w:r>
          </w:p>
        </w:tc>
      </w:tr>
    </w:tbl>
    <w:p w14:paraId="6123BFBE" w14:textId="77777777" w:rsidR="00732CAD" w:rsidRPr="00732CAD" w:rsidRDefault="00732CAD" w:rsidP="00732CAD">
      <w:pPr>
        <w:widowControl w:val="0"/>
        <w:pBdr>
          <w:top w:val="nil"/>
          <w:left w:val="nil"/>
          <w:bottom w:val="nil"/>
          <w:right w:val="nil"/>
          <w:between w:val="nil"/>
        </w:pBdr>
        <w:spacing w:before="480"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444746"/>
          <w:kern w:val="0"/>
          <w:sz w:val="24"/>
          <w:szCs w:val="24"/>
          <w:vertAlign w:val="superscript"/>
          <w:lang w:eastAsia="en-IN"/>
          <w14:ligatures w14:val="none"/>
        </w:rPr>
        <w:t>1</w:t>
      </w:r>
    </w:p>
    <w:p w14:paraId="337FC5D3" w14:textId="77777777" w:rsidR="00732CAD" w:rsidRPr="00732CAD" w:rsidRDefault="00732CAD" w:rsidP="00732CAD">
      <w:pPr>
        <w:widowControl w:val="0"/>
        <w:pBdr>
          <w:top w:val="nil"/>
          <w:left w:val="nil"/>
          <w:bottom w:val="nil"/>
          <w:right w:val="nil"/>
          <w:between w:val="nil"/>
        </w:pBdr>
        <w:spacing w:after="120" w:line="275" w:lineRule="auto"/>
        <w:outlineLvl w:val="1"/>
        <w:rPr>
          <w:rFonts w:ascii="Google Sans" w:eastAsia="Google Sans" w:hAnsi="Google Sans" w:cs="Google Sans"/>
          <w:b/>
          <w:bCs/>
          <w:color w:val="1F1F1F"/>
          <w:kern w:val="0"/>
          <w:sz w:val="36"/>
          <w:szCs w:val="36"/>
          <w:lang w:eastAsia="en-IN"/>
          <w14:ligatures w14:val="none"/>
        </w:rPr>
      </w:pPr>
      <w:r w:rsidRPr="00732CAD">
        <w:rPr>
          <w:rFonts w:ascii="Google Sans" w:eastAsia="Google Sans" w:hAnsi="Google Sans" w:cs="Google Sans"/>
          <w:b/>
          <w:bCs/>
          <w:color w:val="1F1F1F"/>
          <w:kern w:val="0"/>
          <w:sz w:val="36"/>
          <w:szCs w:val="36"/>
          <w:lang w:eastAsia="en-IN"/>
          <w14:ligatures w14:val="none"/>
        </w:rPr>
        <w:t>Forensic Analysis of Subject Weightage and Domain Fluctuations</w:t>
      </w:r>
    </w:p>
    <w:p w14:paraId="47D4F569" w14:textId="77777777" w:rsidR="00732CAD" w:rsidRPr="00732CAD" w:rsidRDefault="00732CAD" w:rsidP="00732CAD">
      <w:pPr>
        <w:widowControl w:val="0"/>
        <w:pBdr>
          <w:top w:val="nil"/>
          <w:left w:val="nil"/>
          <w:bottom w:val="nil"/>
          <w:right w:val="nil"/>
          <w:between w:val="nil"/>
        </w:pBdr>
        <w:spacing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1F1F1F"/>
          <w:kern w:val="0"/>
          <w:lang w:eastAsia="en-IN"/>
          <w14:ligatures w14:val="none"/>
        </w:rPr>
        <w:t>The subject distribution in CLAT PG is characterized by a "Core and Periphery" model. Constitutional Law remains the non-negotiable core, consistently accounting for 25% to 35% of the paper.</w:t>
      </w:r>
      <w:r w:rsidRPr="00732CAD">
        <w:rPr>
          <w:rFonts w:ascii="Google Sans Text" w:eastAsia="Google Sans Text" w:hAnsi="Google Sans Text" w:cs="Google Sans Text"/>
          <w:color w:val="444746"/>
          <w:kern w:val="0"/>
          <w:sz w:val="24"/>
          <w:szCs w:val="24"/>
          <w:vertAlign w:val="superscript"/>
          <w:lang w:eastAsia="en-IN"/>
          <w14:ligatures w14:val="none"/>
        </w:rPr>
        <w:t>9</w:t>
      </w:r>
      <w:r w:rsidRPr="00732CAD">
        <w:rPr>
          <w:rFonts w:ascii="Google Sans Text" w:eastAsia="Google Sans Text" w:hAnsi="Google Sans Text" w:cs="Google Sans Text"/>
          <w:color w:val="1F1F1F"/>
          <w:kern w:val="0"/>
          <w:lang w:eastAsia="en-IN"/>
          <w14:ligatures w14:val="none"/>
        </w:rPr>
        <w:t xml:space="preserve"> However, the "Kingmaker" subjects—those that fluctuate and determine the final ranking of top-tier candidates—have shifted from general torts and family law to specialized regulatory fields such as Securities Law, Corporate Governance, and Cyber Jurisprudence.</w:t>
      </w:r>
      <w:r w:rsidRPr="00732CAD">
        <w:rPr>
          <w:rFonts w:ascii="Google Sans Text" w:eastAsia="Google Sans Text" w:hAnsi="Google Sans Text" w:cs="Google Sans Text"/>
          <w:color w:val="444746"/>
          <w:kern w:val="0"/>
          <w:sz w:val="24"/>
          <w:szCs w:val="24"/>
          <w:vertAlign w:val="superscript"/>
          <w:lang w:eastAsia="en-IN"/>
          <w14:ligatures w14:val="none"/>
        </w:rPr>
        <w:t>1</w:t>
      </w:r>
    </w:p>
    <w:p w14:paraId="4FD79B1B" w14:textId="77777777" w:rsidR="00732CAD" w:rsidRPr="00732CAD" w:rsidRDefault="00732CAD" w:rsidP="00732CAD">
      <w:pPr>
        <w:widowControl w:val="0"/>
        <w:pBdr>
          <w:top w:val="nil"/>
          <w:left w:val="nil"/>
          <w:bottom w:val="nil"/>
          <w:right w:val="nil"/>
          <w:between w:val="nil"/>
        </w:pBdr>
        <w:spacing w:after="120" w:line="275" w:lineRule="auto"/>
        <w:outlineLvl w:val="2"/>
        <w:rPr>
          <w:rFonts w:ascii="Google Sans" w:eastAsia="Google Sans" w:hAnsi="Google Sans" w:cs="Google Sans"/>
          <w:b/>
          <w:bCs/>
          <w:color w:val="1F1F1F"/>
          <w:kern w:val="0"/>
          <w:sz w:val="28"/>
          <w:szCs w:val="28"/>
          <w:lang w:eastAsia="en-IN"/>
          <w14:ligatures w14:val="none"/>
        </w:rPr>
      </w:pPr>
      <w:r w:rsidRPr="00732CAD">
        <w:rPr>
          <w:rFonts w:ascii="Google Sans" w:eastAsia="Google Sans" w:hAnsi="Google Sans" w:cs="Google Sans"/>
          <w:b/>
          <w:bCs/>
          <w:color w:val="1F1F1F"/>
          <w:kern w:val="0"/>
          <w:sz w:val="28"/>
          <w:szCs w:val="28"/>
          <w:lang w:eastAsia="en-IN"/>
          <w14:ligatures w14:val="none"/>
        </w:rPr>
        <w:lastRenderedPageBreak/>
        <w:t>The Constitutional and Jurisprudential Anchor</w:t>
      </w:r>
    </w:p>
    <w:p w14:paraId="1D662C1C" w14:textId="77777777" w:rsidR="00732CAD" w:rsidRPr="00732CAD" w:rsidRDefault="00732CAD" w:rsidP="00732CAD">
      <w:pPr>
        <w:widowControl w:val="0"/>
        <w:pBdr>
          <w:top w:val="nil"/>
          <w:left w:val="nil"/>
          <w:bottom w:val="nil"/>
          <w:right w:val="nil"/>
          <w:between w:val="nil"/>
        </w:pBdr>
        <w:spacing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1F1F1F"/>
          <w:kern w:val="0"/>
          <w:lang w:eastAsia="en-IN"/>
          <w14:ligatures w14:val="none"/>
        </w:rPr>
        <w:t>Constitutional Law questions have transitioned from simple article identification to complex inquiries into federalism, judicial appointments, and the tension between majoritarianism and constitutional morality.</w:t>
      </w:r>
      <w:r w:rsidRPr="00732CAD">
        <w:rPr>
          <w:rFonts w:ascii="Google Sans Text" w:eastAsia="Google Sans Text" w:hAnsi="Google Sans Text" w:cs="Google Sans Text"/>
          <w:color w:val="444746"/>
          <w:kern w:val="0"/>
          <w:sz w:val="24"/>
          <w:szCs w:val="24"/>
          <w:vertAlign w:val="superscript"/>
          <w:lang w:eastAsia="en-IN"/>
          <w14:ligatures w14:val="none"/>
        </w:rPr>
        <w:t>10</w:t>
      </w:r>
      <w:r w:rsidRPr="00732CAD">
        <w:rPr>
          <w:rFonts w:ascii="Google Sans Text" w:eastAsia="Google Sans Text" w:hAnsi="Google Sans Text" w:cs="Google Sans Text"/>
          <w:color w:val="1F1F1F"/>
          <w:kern w:val="0"/>
          <w:lang w:eastAsia="en-IN"/>
          <w14:ligatures w14:val="none"/>
        </w:rPr>
        <w:t xml:space="preserve"> Recent papers emphasize Article 14 (arbitrariness), Article 19 (digital speech), and Article 21 (reproductive and privacy rights).</w:t>
      </w:r>
      <w:r w:rsidRPr="00732CAD">
        <w:rPr>
          <w:rFonts w:ascii="Google Sans Text" w:eastAsia="Google Sans Text" w:hAnsi="Google Sans Text" w:cs="Google Sans Text"/>
          <w:color w:val="444746"/>
          <w:kern w:val="0"/>
          <w:sz w:val="24"/>
          <w:szCs w:val="24"/>
          <w:vertAlign w:val="superscript"/>
          <w:lang w:eastAsia="en-IN"/>
          <w14:ligatures w14:val="none"/>
        </w:rPr>
        <w:t>10</w:t>
      </w:r>
      <w:r w:rsidRPr="00732CAD">
        <w:rPr>
          <w:rFonts w:ascii="Google Sans Text" w:eastAsia="Google Sans Text" w:hAnsi="Google Sans Text" w:cs="Google Sans Text"/>
          <w:color w:val="1F1F1F"/>
          <w:kern w:val="0"/>
          <w:lang w:eastAsia="en-IN"/>
          <w14:ligatures w14:val="none"/>
        </w:rPr>
        <w:t xml:space="preserve"> Jurisprudence follows as a high-yield area, often testing the application of abstract theories (Hart’s Rule of Recognition, Dworkin’s Rights Thesis) to the reasoning used in contemporary Supreme Court judgments.</w:t>
      </w:r>
      <w:r w:rsidRPr="00732CAD">
        <w:rPr>
          <w:rFonts w:ascii="Google Sans Text" w:eastAsia="Google Sans Text" w:hAnsi="Google Sans Text" w:cs="Google Sans Text"/>
          <w:color w:val="444746"/>
          <w:kern w:val="0"/>
          <w:sz w:val="24"/>
          <w:szCs w:val="24"/>
          <w:vertAlign w:val="superscript"/>
          <w:lang w:eastAsia="en-IN"/>
          <w14:ligatures w14:val="none"/>
        </w:rPr>
        <w:t>4</w:t>
      </w:r>
    </w:p>
    <w:p w14:paraId="73B6E4B8" w14:textId="77777777" w:rsidR="00732CAD" w:rsidRPr="00732CAD" w:rsidRDefault="00732CAD" w:rsidP="00732CAD">
      <w:pPr>
        <w:widowControl w:val="0"/>
        <w:pBdr>
          <w:top w:val="nil"/>
          <w:left w:val="nil"/>
          <w:bottom w:val="nil"/>
          <w:right w:val="nil"/>
          <w:between w:val="nil"/>
        </w:pBdr>
        <w:spacing w:after="120" w:line="275" w:lineRule="auto"/>
        <w:outlineLvl w:val="2"/>
        <w:rPr>
          <w:rFonts w:ascii="Google Sans" w:eastAsia="Google Sans" w:hAnsi="Google Sans" w:cs="Google Sans"/>
          <w:b/>
          <w:bCs/>
          <w:color w:val="1F1F1F"/>
          <w:kern w:val="0"/>
          <w:sz w:val="28"/>
          <w:szCs w:val="28"/>
          <w:lang w:eastAsia="en-IN"/>
          <w14:ligatures w14:val="none"/>
        </w:rPr>
      </w:pPr>
      <w:r w:rsidRPr="00732CAD">
        <w:rPr>
          <w:rFonts w:ascii="Google Sans" w:eastAsia="Google Sans" w:hAnsi="Google Sans" w:cs="Google Sans"/>
          <w:b/>
          <w:bCs/>
          <w:color w:val="1F1F1F"/>
          <w:kern w:val="0"/>
          <w:sz w:val="28"/>
          <w:szCs w:val="28"/>
          <w:lang w:eastAsia="en-IN"/>
          <w14:ligatures w14:val="none"/>
        </w:rPr>
        <w:t>The Commercial and Regulatory Pivot</w:t>
      </w:r>
    </w:p>
    <w:p w14:paraId="4A7149AD" w14:textId="77777777" w:rsidR="00732CAD" w:rsidRPr="00732CAD" w:rsidRDefault="00732CAD" w:rsidP="00732CAD">
      <w:pPr>
        <w:widowControl w:val="0"/>
        <w:pBdr>
          <w:top w:val="nil"/>
          <w:left w:val="nil"/>
          <w:bottom w:val="nil"/>
          <w:right w:val="nil"/>
          <w:between w:val="nil"/>
        </w:pBdr>
        <w:spacing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1F1F1F"/>
          <w:kern w:val="0"/>
          <w:lang w:eastAsia="en-IN"/>
          <w14:ligatures w14:val="none"/>
        </w:rPr>
        <w:t xml:space="preserve">The years 2024–2026 observed a significant rise in Company Law and SEBI-related passages. The focus has been on shareholder democracy, minority rights, and the "Doctrine of Regulatory Deference," as seen in the </w:t>
      </w:r>
      <w:r w:rsidRPr="00732CAD">
        <w:rPr>
          <w:rFonts w:ascii="Google Sans Text" w:eastAsia="Google Sans Text" w:hAnsi="Google Sans Text" w:cs="Google Sans Text"/>
          <w:i/>
          <w:iCs/>
          <w:color w:val="1F1F1F"/>
          <w:kern w:val="0"/>
          <w:lang w:eastAsia="en-IN"/>
          <w14:ligatures w14:val="none"/>
        </w:rPr>
        <w:t>Vishal Tiwari</w:t>
      </w:r>
      <w:r w:rsidRPr="00732CAD">
        <w:rPr>
          <w:rFonts w:ascii="Google Sans Text" w:eastAsia="Google Sans Text" w:hAnsi="Google Sans Text" w:cs="Google Sans Text"/>
          <w:color w:val="1F1F1F"/>
          <w:kern w:val="0"/>
          <w:lang w:eastAsia="en-IN"/>
          <w14:ligatures w14:val="none"/>
        </w:rPr>
        <w:t xml:space="preserve"> (Adani-Hindenburg) matter.</w:t>
      </w:r>
      <w:r w:rsidRPr="00732CAD">
        <w:rPr>
          <w:rFonts w:ascii="Google Sans Text" w:eastAsia="Google Sans Text" w:hAnsi="Google Sans Text" w:cs="Google Sans Text"/>
          <w:color w:val="444746"/>
          <w:kern w:val="0"/>
          <w:sz w:val="24"/>
          <w:szCs w:val="24"/>
          <w:vertAlign w:val="superscript"/>
          <w:lang w:eastAsia="en-IN"/>
          <w14:ligatures w14:val="none"/>
        </w:rPr>
        <w:t>5</w:t>
      </w:r>
      <w:r w:rsidRPr="00732CAD">
        <w:rPr>
          <w:rFonts w:ascii="Google Sans Text" w:eastAsia="Google Sans Text" w:hAnsi="Google Sans Text" w:cs="Google Sans Text"/>
          <w:color w:val="1F1F1F"/>
          <w:kern w:val="0"/>
          <w:lang w:eastAsia="en-IN"/>
          <w14:ligatures w14:val="none"/>
        </w:rPr>
        <w:t xml:space="preserve"> The Insolvency and Bankruptcy Code (IBC) has also emerged as a recurring theme, particularly focusing on the priority of claims and cross-border insolvency frameworks.</w:t>
      </w:r>
      <w:r w:rsidRPr="00732CAD">
        <w:rPr>
          <w:rFonts w:ascii="Google Sans Text" w:eastAsia="Google Sans Text" w:hAnsi="Google Sans Text" w:cs="Google Sans Text"/>
          <w:color w:val="444746"/>
          <w:kern w:val="0"/>
          <w:sz w:val="24"/>
          <w:szCs w:val="24"/>
          <w:vertAlign w:val="superscript"/>
          <w:lang w:eastAsia="en-IN"/>
          <w14:ligatures w14:val="none"/>
        </w:rPr>
        <w:t>5</w:t>
      </w:r>
    </w:p>
    <w:p w14:paraId="77243BCD" w14:textId="77777777" w:rsidR="00732CAD" w:rsidRPr="00732CAD" w:rsidRDefault="00732CAD" w:rsidP="00732CAD">
      <w:pPr>
        <w:widowControl w:val="0"/>
        <w:pBdr>
          <w:top w:val="nil"/>
          <w:left w:val="nil"/>
          <w:bottom w:val="nil"/>
          <w:right w:val="nil"/>
          <w:between w:val="nil"/>
        </w:pBdr>
        <w:spacing w:after="120" w:line="275" w:lineRule="auto"/>
        <w:outlineLvl w:val="2"/>
        <w:rPr>
          <w:rFonts w:ascii="Google Sans" w:eastAsia="Google Sans" w:hAnsi="Google Sans" w:cs="Google Sans"/>
          <w:b/>
          <w:bCs/>
          <w:color w:val="1F1F1F"/>
          <w:kern w:val="0"/>
          <w:sz w:val="28"/>
          <w:szCs w:val="28"/>
          <w:lang w:eastAsia="en-IN"/>
          <w14:ligatures w14:val="none"/>
        </w:rPr>
      </w:pPr>
      <w:r w:rsidRPr="00732CAD">
        <w:rPr>
          <w:rFonts w:ascii="Google Sans" w:eastAsia="Google Sans" w:hAnsi="Google Sans" w:cs="Google Sans"/>
          <w:b/>
          <w:bCs/>
          <w:color w:val="1F1F1F"/>
          <w:kern w:val="0"/>
          <w:sz w:val="28"/>
          <w:szCs w:val="28"/>
          <w:lang w:eastAsia="en-IN"/>
          <w14:ligatures w14:val="none"/>
        </w:rPr>
        <w:t>Table 2: Aggregate Subject Weightage Trends (2020–2026)</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40"/>
        <w:gridCol w:w="2340"/>
        <w:gridCol w:w="2340"/>
        <w:gridCol w:w="2340"/>
      </w:tblGrid>
      <w:tr w:rsidR="00732CAD" w:rsidRPr="00732CAD" w14:paraId="05147F43" w14:textId="77777777" w:rsidTr="00D23A1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170C07"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Subject Area</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353964"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Average Questions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E78AC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Status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C462F1"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Preparation Strategy</w:t>
            </w:r>
          </w:p>
        </w:tc>
      </w:tr>
      <w:tr w:rsidR="00732CAD" w:rsidRPr="00732CAD" w14:paraId="5FBF291D" w14:textId="77777777" w:rsidTr="00D23A1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62DA4B"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Constitutional Law</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5D6ED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30–35</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72618E"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High Weightage</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1585E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Focus on 7/9-judge bench rulings</w:t>
            </w:r>
          </w:p>
        </w:tc>
      </w:tr>
      <w:tr w:rsidR="00732CAD" w:rsidRPr="00732CAD" w14:paraId="03FA624B" w14:textId="77777777" w:rsidTr="00D23A1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9925D6"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Jurisprudence</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4D5696"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15–20</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FF9C25"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High Yield</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16279D"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Conceptual clarity on schools of thought</w:t>
            </w:r>
          </w:p>
        </w:tc>
      </w:tr>
      <w:tr w:rsidR="00732CAD" w:rsidRPr="00732CAD" w14:paraId="025522D3" w14:textId="77777777" w:rsidTr="00D23A1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9989D3"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Criminal Law (BNS/BNSS)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49456D"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12–15</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F932B9"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Increasing</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C1BD206"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Focus on reform-based procedural changes</w:t>
            </w:r>
          </w:p>
        </w:tc>
      </w:tr>
      <w:tr w:rsidR="00732CAD" w:rsidRPr="00732CAD" w14:paraId="75C314E9" w14:textId="77777777" w:rsidTr="00D23A1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25A8D6"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Company Law &amp; SEBI</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CAC55B"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10–12</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01F398"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Increasing</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EB0F9F"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Shareholder rights &amp; regulatory investigation</w:t>
            </w:r>
          </w:p>
        </w:tc>
      </w:tr>
      <w:tr w:rsidR="00732CAD" w:rsidRPr="00732CAD" w14:paraId="59EBD651" w14:textId="77777777" w:rsidTr="00D23A1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0619C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Contract Law &amp; SRA</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1850FE"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8–10</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E80EB8"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Steady</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8978C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Focus on breach and jurisdiction clauses</w:t>
            </w:r>
          </w:p>
        </w:tc>
      </w:tr>
      <w:tr w:rsidR="00732CAD" w:rsidRPr="00732CAD" w14:paraId="16A6E6F3" w14:textId="77777777" w:rsidTr="00D23A1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89C1B5"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Torts &amp; Consumer Law</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D92642"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5–8</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9D5BDD"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Decreasing</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D9F55D"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Strict vs. Absolute liability doctrines</w:t>
            </w:r>
          </w:p>
        </w:tc>
      </w:tr>
      <w:tr w:rsidR="00732CAD" w:rsidRPr="00732CAD" w14:paraId="18F2AD23" w14:textId="77777777" w:rsidTr="00D23A1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F6BCFD"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lastRenderedPageBreak/>
              <w:t>Public International Law</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BCFF0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4–6</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910742"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Moderate</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D06D02"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Treaty interpretation &amp; ICJ jurisdiction</w:t>
            </w:r>
          </w:p>
        </w:tc>
      </w:tr>
      <w:tr w:rsidR="00732CAD" w:rsidRPr="00732CAD" w14:paraId="2E153F14" w14:textId="77777777" w:rsidTr="00D23A1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E8CF2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Emerging Laws (DPDP/AI)</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60419E"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4–6</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C22F8C"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Rising</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A71675"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Statutory definitions and consent models</w:t>
            </w:r>
          </w:p>
        </w:tc>
      </w:tr>
    </w:tbl>
    <w:p w14:paraId="00219B11" w14:textId="77777777" w:rsidR="00732CAD" w:rsidRPr="00732CAD" w:rsidRDefault="00732CAD" w:rsidP="00732CAD">
      <w:pPr>
        <w:widowControl w:val="0"/>
        <w:pBdr>
          <w:top w:val="nil"/>
          <w:left w:val="nil"/>
          <w:bottom w:val="nil"/>
          <w:right w:val="nil"/>
          <w:between w:val="nil"/>
        </w:pBdr>
        <w:spacing w:before="480"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444746"/>
          <w:kern w:val="0"/>
          <w:sz w:val="24"/>
          <w:szCs w:val="24"/>
          <w:vertAlign w:val="superscript"/>
          <w:lang w:eastAsia="en-IN"/>
          <w14:ligatures w14:val="none"/>
        </w:rPr>
        <w:t>1</w:t>
      </w:r>
    </w:p>
    <w:p w14:paraId="24468284" w14:textId="77777777" w:rsidR="00732CAD" w:rsidRPr="00732CAD" w:rsidRDefault="00732CAD" w:rsidP="00732CAD">
      <w:pPr>
        <w:widowControl w:val="0"/>
        <w:pBdr>
          <w:top w:val="nil"/>
          <w:left w:val="nil"/>
          <w:bottom w:val="nil"/>
          <w:right w:val="nil"/>
          <w:between w:val="nil"/>
        </w:pBdr>
        <w:spacing w:after="120" w:line="275" w:lineRule="auto"/>
        <w:outlineLvl w:val="1"/>
        <w:rPr>
          <w:rFonts w:ascii="Google Sans" w:eastAsia="Google Sans" w:hAnsi="Google Sans" w:cs="Google Sans"/>
          <w:b/>
          <w:bCs/>
          <w:color w:val="1F1F1F"/>
          <w:kern w:val="0"/>
          <w:sz w:val="36"/>
          <w:szCs w:val="36"/>
          <w:lang w:eastAsia="en-IN"/>
          <w14:ligatures w14:val="none"/>
        </w:rPr>
      </w:pPr>
      <w:r w:rsidRPr="00732CAD">
        <w:rPr>
          <w:rFonts w:ascii="Google Sans" w:eastAsia="Google Sans" w:hAnsi="Google Sans" w:cs="Google Sans"/>
          <w:b/>
          <w:bCs/>
          <w:color w:val="1F1F1F"/>
          <w:kern w:val="0"/>
          <w:sz w:val="36"/>
          <w:szCs w:val="36"/>
          <w:lang w:eastAsia="en-IN"/>
          <w14:ligatures w14:val="none"/>
        </w:rPr>
        <w:t>Psychology of the Paper Setter and Strategic Distractor Framing</w:t>
      </w:r>
    </w:p>
    <w:p w14:paraId="4009C34B" w14:textId="77777777" w:rsidR="00732CAD" w:rsidRPr="00732CAD" w:rsidRDefault="00732CAD" w:rsidP="00732CAD">
      <w:pPr>
        <w:widowControl w:val="0"/>
        <w:pBdr>
          <w:top w:val="nil"/>
          <w:left w:val="nil"/>
          <w:bottom w:val="nil"/>
          <w:right w:val="nil"/>
          <w:between w:val="nil"/>
        </w:pBdr>
        <w:spacing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1F1F1F"/>
          <w:kern w:val="0"/>
          <w:lang w:eastAsia="en-IN"/>
          <w14:ligatures w14:val="none"/>
        </w:rPr>
        <w:t>The CLAT PG paper setter employs specific psychological techniques to evaluate a candidate’s conceptual maturity and attention to detail. The intent is to distinguish between those who have read judgment summaries and those who understand judicial methodology.</w:t>
      </w:r>
      <w:r w:rsidRPr="00732CAD">
        <w:rPr>
          <w:rFonts w:ascii="Google Sans Text" w:eastAsia="Google Sans Text" w:hAnsi="Google Sans Text" w:cs="Google Sans Text"/>
          <w:color w:val="444746"/>
          <w:kern w:val="0"/>
          <w:sz w:val="24"/>
          <w:szCs w:val="24"/>
          <w:vertAlign w:val="superscript"/>
          <w:lang w:eastAsia="en-IN"/>
          <w14:ligatures w14:val="none"/>
        </w:rPr>
        <w:t>1</w:t>
      </w:r>
    </w:p>
    <w:p w14:paraId="5195E518" w14:textId="77777777" w:rsidR="00732CAD" w:rsidRPr="00732CAD" w:rsidRDefault="00732CAD" w:rsidP="00732CAD">
      <w:pPr>
        <w:widowControl w:val="0"/>
        <w:pBdr>
          <w:top w:val="nil"/>
          <w:left w:val="nil"/>
          <w:bottom w:val="nil"/>
          <w:right w:val="nil"/>
          <w:between w:val="nil"/>
        </w:pBdr>
        <w:spacing w:after="120" w:line="275" w:lineRule="auto"/>
        <w:outlineLvl w:val="2"/>
        <w:rPr>
          <w:rFonts w:ascii="Google Sans" w:eastAsia="Google Sans" w:hAnsi="Google Sans" w:cs="Google Sans"/>
          <w:b/>
          <w:bCs/>
          <w:color w:val="1F1F1F"/>
          <w:kern w:val="0"/>
          <w:sz w:val="28"/>
          <w:szCs w:val="28"/>
          <w:lang w:eastAsia="en-IN"/>
          <w14:ligatures w14:val="none"/>
        </w:rPr>
      </w:pPr>
      <w:r w:rsidRPr="00732CAD">
        <w:rPr>
          <w:rFonts w:ascii="Google Sans" w:eastAsia="Google Sans" w:hAnsi="Google Sans" w:cs="Google Sans"/>
          <w:b/>
          <w:bCs/>
          <w:color w:val="1F1F1F"/>
          <w:kern w:val="0"/>
          <w:sz w:val="28"/>
          <w:szCs w:val="28"/>
          <w:lang w:eastAsia="en-IN"/>
          <w14:ligatures w14:val="none"/>
        </w:rPr>
        <w:t>Technical Option Framing Strategies</w:t>
      </w:r>
    </w:p>
    <w:p w14:paraId="7E82A32E" w14:textId="77777777" w:rsidR="00732CAD" w:rsidRPr="00732CAD" w:rsidRDefault="00732CAD" w:rsidP="00732CAD">
      <w:pPr>
        <w:widowControl w:val="0"/>
        <w:pBdr>
          <w:top w:val="nil"/>
          <w:left w:val="nil"/>
          <w:bottom w:val="nil"/>
          <w:right w:val="nil"/>
          <w:between w:val="nil"/>
        </w:pBdr>
        <w:spacing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Analysis of the 2025 and 2026 papers reveals several recurring "trap" patterns in multiple-choice questions (MCQs):</w:t>
      </w:r>
    </w:p>
    <w:p w14:paraId="74BB1744" w14:textId="77777777" w:rsidR="00732CAD" w:rsidRPr="00732CAD" w:rsidRDefault="00732CAD" w:rsidP="00732CAD">
      <w:pPr>
        <w:widowControl w:val="0"/>
        <w:numPr>
          <w:ilvl w:val="0"/>
          <w:numId w:val="1"/>
        </w:numPr>
        <w:pBdr>
          <w:top w:val="nil"/>
          <w:left w:val="nil"/>
          <w:bottom w:val="nil"/>
          <w:right w:val="nil"/>
          <w:between w:val="nil"/>
        </w:pBdr>
        <w:spacing w:after="0" w:line="275" w:lineRule="auto"/>
        <w:rPr>
          <w:rFonts w:ascii="Arial" w:eastAsia="Arial" w:hAnsi="Arial" w:cs="Arial"/>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Linguistic Precision:</w:t>
      </w:r>
      <w:r w:rsidRPr="00732CAD">
        <w:rPr>
          <w:rFonts w:ascii="Google Sans Text" w:eastAsia="Google Sans Text" w:hAnsi="Google Sans Text" w:cs="Google Sans Text"/>
          <w:color w:val="1F1F1F"/>
          <w:kern w:val="0"/>
          <w:lang w:eastAsia="en-IN"/>
          <w14:ligatures w14:val="none"/>
        </w:rPr>
        <w:t xml:space="preserve"> Options frequently hinge on the distinction between mandatory and directory language (e.g., "may" vs. "shall" or "must" vs. "ought to").</w:t>
      </w:r>
      <w:r w:rsidRPr="00732CAD">
        <w:rPr>
          <w:rFonts w:ascii="Google Sans Text" w:eastAsia="Google Sans Text" w:hAnsi="Google Sans Text" w:cs="Google Sans Text"/>
          <w:color w:val="444746"/>
          <w:kern w:val="0"/>
          <w:sz w:val="24"/>
          <w:szCs w:val="24"/>
          <w:vertAlign w:val="superscript"/>
          <w:lang w:eastAsia="en-IN"/>
          <w14:ligatures w14:val="none"/>
        </w:rPr>
        <w:t>15</w:t>
      </w:r>
    </w:p>
    <w:p w14:paraId="487879C6" w14:textId="77777777" w:rsidR="00732CAD" w:rsidRPr="00732CAD" w:rsidRDefault="00732CAD" w:rsidP="00732CAD">
      <w:pPr>
        <w:widowControl w:val="0"/>
        <w:numPr>
          <w:ilvl w:val="0"/>
          <w:numId w:val="1"/>
        </w:numPr>
        <w:pBdr>
          <w:top w:val="nil"/>
          <w:left w:val="nil"/>
          <w:bottom w:val="nil"/>
          <w:right w:val="nil"/>
          <w:between w:val="nil"/>
        </w:pBdr>
        <w:spacing w:after="0" w:line="275" w:lineRule="auto"/>
        <w:rPr>
          <w:rFonts w:ascii="Arial" w:eastAsia="Arial" w:hAnsi="Arial" w:cs="Arial"/>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Principle-Fact Mismatch:</w:t>
      </w:r>
      <w:r w:rsidRPr="00732CAD">
        <w:rPr>
          <w:rFonts w:ascii="Google Sans Text" w:eastAsia="Google Sans Text" w:hAnsi="Google Sans Text" w:cs="Google Sans Text"/>
          <w:color w:val="1F1F1F"/>
          <w:kern w:val="0"/>
          <w:lang w:eastAsia="en-IN"/>
          <w14:ligatures w14:val="none"/>
        </w:rPr>
        <w:t xml:space="preserve"> The setter may provide an option that is a perfectly accurate statement of law but is irrelevant to the specific factual scenario or the reasoning presented in the passage.</w:t>
      </w:r>
      <w:r w:rsidRPr="00732CAD">
        <w:rPr>
          <w:rFonts w:ascii="Google Sans Text" w:eastAsia="Google Sans Text" w:hAnsi="Google Sans Text" w:cs="Google Sans Text"/>
          <w:color w:val="444746"/>
          <w:kern w:val="0"/>
          <w:sz w:val="24"/>
          <w:szCs w:val="24"/>
          <w:vertAlign w:val="superscript"/>
          <w:lang w:eastAsia="en-IN"/>
          <w14:ligatures w14:val="none"/>
        </w:rPr>
        <w:t>15</w:t>
      </w:r>
    </w:p>
    <w:p w14:paraId="50E47453" w14:textId="77777777" w:rsidR="00732CAD" w:rsidRPr="00732CAD" w:rsidRDefault="00732CAD" w:rsidP="00732CAD">
      <w:pPr>
        <w:widowControl w:val="0"/>
        <w:numPr>
          <w:ilvl w:val="0"/>
          <w:numId w:val="1"/>
        </w:numPr>
        <w:pBdr>
          <w:top w:val="nil"/>
          <w:left w:val="nil"/>
          <w:bottom w:val="nil"/>
          <w:right w:val="nil"/>
          <w:between w:val="nil"/>
        </w:pBdr>
        <w:spacing w:after="0" w:line="275" w:lineRule="auto"/>
        <w:rPr>
          <w:rFonts w:ascii="Arial" w:eastAsia="Arial" w:hAnsi="Arial" w:cs="Arial"/>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The "Partial Truth" Trap:</w:t>
      </w:r>
      <w:r w:rsidRPr="00732CAD">
        <w:rPr>
          <w:rFonts w:ascii="Google Sans Text" w:eastAsia="Google Sans Text" w:hAnsi="Google Sans Text" w:cs="Google Sans Text"/>
          <w:color w:val="1F1F1F"/>
          <w:kern w:val="0"/>
          <w:lang w:eastAsia="en-IN"/>
          <w14:ligatures w14:val="none"/>
        </w:rPr>
        <w:t xml:space="preserve"> Options that are correct in their initial clause but contain a subtle error in the concluding detail, requiring the candidate to read the entire option meticulously.</w:t>
      </w:r>
      <w:r w:rsidRPr="00732CAD">
        <w:rPr>
          <w:rFonts w:ascii="Google Sans Text" w:eastAsia="Google Sans Text" w:hAnsi="Google Sans Text" w:cs="Google Sans Text"/>
          <w:color w:val="444746"/>
          <w:kern w:val="0"/>
          <w:sz w:val="24"/>
          <w:szCs w:val="24"/>
          <w:vertAlign w:val="superscript"/>
          <w:lang w:eastAsia="en-IN"/>
          <w14:ligatures w14:val="none"/>
        </w:rPr>
        <w:t>15</w:t>
      </w:r>
    </w:p>
    <w:p w14:paraId="674F745C" w14:textId="77777777" w:rsidR="00732CAD" w:rsidRPr="00732CAD" w:rsidRDefault="00732CAD" w:rsidP="00732CAD">
      <w:pPr>
        <w:widowControl w:val="0"/>
        <w:numPr>
          <w:ilvl w:val="0"/>
          <w:numId w:val="1"/>
        </w:numPr>
        <w:pBdr>
          <w:top w:val="nil"/>
          <w:left w:val="nil"/>
          <w:bottom w:val="nil"/>
          <w:right w:val="nil"/>
          <w:between w:val="nil"/>
        </w:pBdr>
        <w:spacing w:after="120" w:line="275" w:lineRule="auto"/>
        <w:rPr>
          <w:rFonts w:ascii="Arial" w:eastAsia="Arial" w:hAnsi="Arial" w:cs="Arial"/>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Conflicting Precedents:</w:t>
      </w:r>
      <w:r w:rsidRPr="00732CAD">
        <w:rPr>
          <w:rFonts w:ascii="Google Sans Text" w:eastAsia="Google Sans Text" w:hAnsi="Google Sans Text" w:cs="Google Sans Text"/>
          <w:color w:val="1F1F1F"/>
          <w:kern w:val="0"/>
          <w:lang w:eastAsia="en-IN"/>
          <w14:ligatures w14:val="none"/>
        </w:rPr>
        <w:t xml:space="preserve"> In areas like reservation or privacy, distractors are often based on the logic of overruled cases or dissenting opinions, testing whether the candidate is updated with the current </w:t>
      </w:r>
      <w:r w:rsidRPr="00732CAD">
        <w:rPr>
          <w:rFonts w:ascii="Google Sans Text" w:eastAsia="Google Sans Text" w:hAnsi="Google Sans Text" w:cs="Google Sans Text"/>
          <w:i/>
          <w:iCs/>
          <w:color w:val="1F1F1F"/>
          <w:kern w:val="0"/>
          <w:lang w:eastAsia="en-IN"/>
          <w14:ligatures w14:val="none"/>
        </w:rPr>
        <w:t>lex loci</w:t>
      </w:r>
      <w:r w:rsidRPr="00732CAD">
        <w:rPr>
          <w:rFonts w:ascii="Google Sans Text" w:eastAsia="Google Sans Text" w:hAnsi="Google Sans Text" w:cs="Google Sans Text"/>
          <w:color w:val="1F1F1F"/>
          <w:kern w:val="0"/>
          <w:lang w:eastAsia="en-IN"/>
          <w14:ligatures w14:val="none"/>
        </w:rPr>
        <w:t>.</w:t>
      </w:r>
      <w:r w:rsidRPr="00732CAD">
        <w:rPr>
          <w:rFonts w:ascii="Google Sans Text" w:eastAsia="Google Sans Text" w:hAnsi="Google Sans Text" w:cs="Google Sans Text"/>
          <w:color w:val="444746"/>
          <w:kern w:val="0"/>
          <w:sz w:val="24"/>
          <w:szCs w:val="24"/>
          <w:vertAlign w:val="superscript"/>
          <w:lang w:eastAsia="en-IN"/>
          <w14:ligatures w14:val="none"/>
        </w:rPr>
        <w:t>10</w:t>
      </w:r>
    </w:p>
    <w:p w14:paraId="6E2FCFF3" w14:textId="77777777" w:rsidR="00732CAD" w:rsidRPr="00732CAD" w:rsidRDefault="00732CAD" w:rsidP="00732CAD">
      <w:pPr>
        <w:widowControl w:val="0"/>
        <w:pBdr>
          <w:top w:val="nil"/>
          <w:left w:val="nil"/>
          <w:bottom w:val="nil"/>
          <w:right w:val="nil"/>
          <w:between w:val="nil"/>
        </w:pBdr>
        <w:spacing w:before="240" w:after="120" w:line="275" w:lineRule="auto"/>
        <w:outlineLvl w:val="1"/>
        <w:rPr>
          <w:rFonts w:ascii="Google Sans" w:eastAsia="Google Sans" w:hAnsi="Google Sans" w:cs="Google Sans"/>
          <w:b/>
          <w:bCs/>
          <w:color w:val="1F1F1F"/>
          <w:kern w:val="0"/>
          <w:sz w:val="36"/>
          <w:szCs w:val="36"/>
          <w:lang w:eastAsia="en-IN"/>
          <w14:ligatures w14:val="none"/>
        </w:rPr>
      </w:pPr>
      <w:r w:rsidRPr="00732CAD">
        <w:rPr>
          <w:rFonts w:ascii="Google Sans" w:eastAsia="Google Sans" w:hAnsi="Google Sans" w:cs="Google Sans"/>
          <w:b/>
          <w:bCs/>
          <w:color w:val="1F1F1F"/>
          <w:kern w:val="0"/>
          <w:sz w:val="36"/>
          <w:szCs w:val="36"/>
          <w:lang w:eastAsia="en-IN"/>
          <w14:ligatures w14:val="none"/>
        </w:rPr>
        <w:t>Subject-Specific Forensic Breakdown for 2027</w:t>
      </w:r>
    </w:p>
    <w:p w14:paraId="3B499803" w14:textId="77777777" w:rsidR="00732CAD" w:rsidRPr="00732CAD" w:rsidRDefault="00732CAD" w:rsidP="00732CAD">
      <w:pPr>
        <w:widowControl w:val="0"/>
        <w:pBdr>
          <w:top w:val="nil"/>
          <w:left w:val="nil"/>
          <w:bottom w:val="nil"/>
          <w:right w:val="nil"/>
          <w:between w:val="nil"/>
        </w:pBdr>
        <w:spacing w:after="24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To prepare for 2027, it is critical to dissect the most high-impact legal developments of 2025 and 2026, as these form the primary reservoir for passage selection.</w:t>
      </w:r>
    </w:p>
    <w:p w14:paraId="115972F3" w14:textId="77777777" w:rsidR="00732CAD" w:rsidRPr="00732CAD" w:rsidRDefault="00732CAD" w:rsidP="00732CAD">
      <w:pPr>
        <w:widowControl w:val="0"/>
        <w:pBdr>
          <w:top w:val="nil"/>
          <w:left w:val="nil"/>
          <w:bottom w:val="nil"/>
          <w:right w:val="nil"/>
          <w:between w:val="nil"/>
        </w:pBdr>
        <w:spacing w:after="120" w:line="275" w:lineRule="auto"/>
        <w:outlineLvl w:val="2"/>
        <w:rPr>
          <w:rFonts w:ascii="Google Sans" w:eastAsia="Google Sans" w:hAnsi="Google Sans" w:cs="Google Sans"/>
          <w:b/>
          <w:bCs/>
          <w:color w:val="1F1F1F"/>
          <w:kern w:val="0"/>
          <w:sz w:val="28"/>
          <w:szCs w:val="28"/>
          <w:lang w:eastAsia="en-IN"/>
          <w14:ligatures w14:val="none"/>
        </w:rPr>
      </w:pPr>
      <w:r w:rsidRPr="00732CAD">
        <w:rPr>
          <w:rFonts w:ascii="Google Sans" w:eastAsia="Google Sans" w:hAnsi="Google Sans" w:cs="Google Sans"/>
          <w:b/>
          <w:bCs/>
          <w:color w:val="1F1F1F"/>
          <w:kern w:val="0"/>
          <w:sz w:val="28"/>
          <w:szCs w:val="28"/>
          <w:lang w:eastAsia="en-IN"/>
          <w14:ligatures w14:val="none"/>
        </w:rPr>
        <w:t>Criminal Law: The BNS/BNSS Framework</w:t>
      </w:r>
    </w:p>
    <w:p w14:paraId="2F9B8F2C" w14:textId="77777777" w:rsidR="00732CAD" w:rsidRPr="00732CAD" w:rsidRDefault="00732CAD" w:rsidP="00732CAD">
      <w:pPr>
        <w:widowControl w:val="0"/>
        <w:pBdr>
          <w:top w:val="nil"/>
          <w:left w:val="nil"/>
          <w:bottom w:val="nil"/>
          <w:right w:val="nil"/>
          <w:between w:val="nil"/>
        </w:pBdr>
        <w:spacing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The transition from IPC/CrPC/IEA to BNS/BNSS/BSA is the most significant development in criminal jurisprudence in 160 years.</w:t>
      </w:r>
      <w:r w:rsidRPr="00732CAD">
        <w:rPr>
          <w:rFonts w:ascii="Google Sans Text" w:eastAsia="Google Sans Text" w:hAnsi="Google Sans Text" w:cs="Google Sans Text"/>
          <w:color w:val="444746"/>
          <w:kern w:val="0"/>
          <w:sz w:val="24"/>
          <w:szCs w:val="24"/>
          <w:vertAlign w:val="superscript"/>
          <w:lang w:eastAsia="en-IN"/>
          <w14:ligatures w14:val="none"/>
        </w:rPr>
        <w:t>16</w:t>
      </w:r>
      <w:r w:rsidRPr="00732CAD">
        <w:rPr>
          <w:rFonts w:ascii="Google Sans Text" w:eastAsia="Google Sans Text" w:hAnsi="Google Sans Text" w:cs="Google Sans Text"/>
          <w:color w:val="1F1F1F"/>
          <w:kern w:val="0"/>
          <w:lang w:eastAsia="en-IN"/>
          <w14:ligatures w14:val="none"/>
        </w:rPr>
        <w:t xml:space="preserve"> The 2026 paper already began testing these changes, focusing on:</w:t>
      </w:r>
    </w:p>
    <w:p w14:paraId="7DD05BFA" w14:textId="77777777" w:rsidR="00732CAD" w:rsidRPr="00732CAD" w:rsidRDefault="00732CAD" w:rsidP="00732CAD">
      <w:pPr>
        <w:widowControl w:val="0"/>
        <w:numPr>
          <w:ilvl w:val="0"/>
          <w:numId w:val="2"/>
        </w:numPr>
        <w:pBdr>
          <w:top w:val="nil"/>
          <w:left w:val="nil"/>
          <w:bottom w:val="nil"/>
          <w:right w:val="nil"/>
          <w:between w:val="nil"/>
        </w:pBdr>
        <w:spacing w:after="0" w:line="275" w:lineRule="auto"/>
        <w:rPr>
          <w:rFonts w:ascii="Arial" w:eastAsia="Arial" w:hAnsi="Arial" w:cs="Arial"/>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Section 69 BNS:</w:t>
      </w:r>
      <w:r w:rsidRPr="00732CAD">
        <w:rPr>
          <w:rFonts w:ascii="Google Sans Text" w:eastAsia="Google Sans Text" w:hAnsi="Google Sans Text" w:cs="Google Sans Text"/>
          <w:color w:val="1F1F1F"/>
          <w:kern w:val="0"/>
          <w:lang w:eastAsia="en-IN"/>
          <w14:ligatures w14:val="none"/>
        </w:rPr>
        <w:t xml:space="preserve"> Codifying the law on sexual intercourse through deceitful means or false promise of marriage.</w:t>
      </w:r>
      <w:r w:rsidRPr="00732CAD">
        <w:rPr>
          <w:rFonts w:ascii="Google Sans Text" w:eastAsia="Google Sans Text" w:hAnsi="Google Sans Text" w:cs="Google Sans Text"/>
          <w:color w:val="444746"/>
          <w:kern w:val="0"/>
          <w:sz w:val="24"/>
          <w:szCs w:val="24"/>
          <w:vertAlign w:val="superscript"/>
          <w:lang w:eastAsia="en-IN"/>
          <w14:ligatures w14:val="none"/>
        </w:rPr>
        <w:t>18</w:t>
      </w:r>
    </w:p>
    <w:p w14:paraId="3D659396" w14:textId="77777777" w:rsidR="00732CAD" w:rsidRPr="00732CAD" w:rsidRDefault="00732CAD" w:rsidP="00732CAD">
      <w:pPr>
        <w:widowControl w:val="0"/>
        <w:numPr>
          <w:ilvl w:val="0"/>
          <w:numId w:val="2"/>
        </w:numPr>
        <w:pBdr>
          <w:top w:val="nil"/>
          <w:left w:val="nil"/>
          <w:bottom w:val="nil"/>
          <w:right w:val="nil"/>
          <w:between w:val="nil"/>
        </w:pBdr>
        <w:spacing w:after="0" w:line="275" w:lineRule="auto"/>
        <w:rPr>
          <w:rFonts w:ascii="Arial" w:eastAsia="Arial" w:hAnsi="Arial" w:cs="Arial"/>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Section 35 BNSS:</w:t>
      </w:r>
      <w:r w:rsidRPr="00732CAD">
        <w:rPr>
          <w:rFonts w:ascii="Google Sans Text" w:eastAsia="Google Sans Text" w:hAnsi="Google Sans Text" w:cs="Google Sans Text"/>
          <w:color w:val="1F1F1F"/>
          <w:kern w:val="0"/>
          <w:lang w:eastAsia="en-IN"/>
          <w14:ligatures w14:val="none"/>
        </w:rPr>
        <w:t xml:space="preserve"> Enhancing safeguards against arbitrary arrest for offenses punishable up to </w:t>
      </w:r>
      <w:r w:rsidRPr="00732CAD">
        <w:rPr>
          <w:rFonts w:ascii="Google Sans Text" w:eastAsia="Google Sans Text" w:hAnsi="Google Sans Text" w:cs="Google Sans Text"/>
          <w:color w:val="1F1F1F"/>
          <w:kern w:val="0"/>
          <w:lang w:eastAsia="en-IN"/>
          <w14:ligatures w14:val="none"/>
        </w:rPr>
        <w:lastRenderedPageBreak/>
        <w:t xml:space="preserve">seven years, effectively codifying the </w:t>
      </w:r>
      <w:r w:rsidRPr="00732CAD">
        <w:rPr>
          <w:rFonts w:ascii="Google Sans Text" w:eastAsia="Google Sans Text" w:hAnsi="Google Sans Text" w:cs="Google Sans Text"/>
          <w:i/>
          <w:iCs/>
          <w:color w:val="1F1F1F"/>
          <w:kern w:val="0"/>
          <w:lang w:eastAsia="en-IN"/>
          <w14:ligatures w14:val="none"/>
        </w:rPr>
        <w:t>Arnesh Kumar</w:t>
      </w:r>
      <w:r w:rsidRPr="00732CAD">
        <w:rPr>
          <w:rFonts w:ascii="Google Sans Text" w:eastAsia="Google Sans Text" w:hAnsi="Google Sans Text" w:cs="Google Sans Text"/>
          <w:color w:val="1F1F1F"/>
          <w:kern w:val="0"/>
          <w:lang w:eastAsia="en-IN"/>
          <w14:ligatures w14:val="none"/>
        </w:rPr>
        <w:t xml:space="preserve"> guidelines.</w:t>
      </w:r>
      <w:r w:rsidRPr="00732CAD">
        <w:rPr>
          <w:rFonts w:ascii="Google Sans Text" w:eastAsia="Google Sans Text" w:hAnsi="Google Sans Text" w:cs="Google Sans Text"/>
          <w:color w:val="444746"/>
          <w:kern w:val="0"/>
          <w:sz w:val="24"/>
          <w:szCs w:val="24"/>
          <w:vertAlign w:val="superscript"/>
          <w:lang w:eastAsia="en-IN"/>
          <w14:ligatures w14:val="none"/>
        </w:rPr>
        <w:t>7</w:t>
      </w:r>
    </w:p>
    <w:p w14:paraId="7CDBAE71" w14:textId="77777777" w:rsidR="00732CAD" w:rsidRPr="00732CAD" w:rsidRDefault="00732CAD" w:rsidP="00732CAD">
      <w:pPr>
        <w:widowControl w:val="0"/>
        <w:numPr>
          <w:ilvl w:val="0"/>
          <w:numId w:val="2"/>
        </w:numPr>
        <w:pBdr>
          <w:top w:val="nil"/>
          <w:left w:val="nil"/>
          <w:bottom w:val="nil"/>
          <w:right w:val="nil"/>
          <w:between w:val="nil"/>
        </w:pBdr>
        <w:spacing w:after="0" w:line="275" w:lineRule="auto"/>
        <w:rPr>
          <w:rFonts w:ascii="Arial" w:eastAsia="Arial" w:hAnsi="Arial" w:cs="Arial"/>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Zero FIR and E-FIR:</w:t>
      </w:r>
      <w:r w:rsidRPr="00732CAD">
        <w:rPr>
          <w:rFonts w:ascii="Google Sans Text" w:eastAsia="Google Sans Text" w:hAnsi="Google Sans Text" w:cs="Google Sans Text"/>
          <w:color w:val="1F1F1F"/>
          <w:kern w:val="0"/>
          <w:lang w:eastAsia="en-IN"/>
          <w14:ligatures w14:val="none"/>
        </w:rPr>
        <w:t xml:space="preserve"> Procedural accessibility and the requirement for digital recording of search and seizure operations.</w:t>
      </w:r>
      <w:r w:rsidRPr="00732CAD">
        <w:rPr>
          <w:rFonts w:ascii="Google Sans Text" w:eastAsia="Google Sans Text" w:hAnsi="Google Sans Text" w:cs="Google Sans Text"/>
          <w:color w:val="444746"/>
          <w:kern w:val="0"/>
          <w:sz w:val="24"/>
          <w:szCs w:val="24"/>
          <w:vertAlign w:val="superscript"/>
          <w:lang w:eastAsia="en-IN"/>
          <w14:ligatures w14:val="none"/>
        </w:rPr>
        <w:t>17</w:t>
      </w:r>
    </w:p>
    <w:p w14:paraId="12C013CC" w14:textId="77777777" w:rsidR="00732CAD" w:rsidRPr="00732CAD" w:rsidRDefault="00732CAD" w:rsidP="00732CAD">
      <w:pPr>
        <w:widowControl w:val="0"/>
        <w:numPr>
          <w:ilvl w:val="0"/>
          <w:numId w:val="2"/>
        </w:numPr>
        <w:pBdr>
          <w:top w:val="nil"/>
          <w:left w:val="nil"/>
          <w:bottom w:val="nil"/>
          <w:right w:val="nil"/>
          <w:between w:val="nil"/>
        </w:pBdr>
        <w:spacing w:after="120" w:line="275" w:lineRule="auto"/>
        <w:rPr>
          <w:rFonts w:ascii="Arial" w:eastAsia="Arial" w:hAnsi="Arial" w:cs="Arial"/>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Digital Evidence:</w:t>
      </w:r>
      <w:r w:rsidRPr="00732CAD">
        <w:rPr>
          <w:rFonts w:ascii="Google Sans Text" w:eastAsia="Google Sans Text" w:hAnsi="Google Sans Text" w:cs="Google Sans Text"/>
          <w:color w:val="1F1F1F"/>
          <w:kern w:val="0"/>
          <w:lang w:eastAsia="en-IN"/>
          <w14:ligatures w14:val="none"/>
        </w:rPr>
        <w:t xml:space="preserve"> Section 57 and 63 of BSA, which redefine primary evidence to include electronic records produced simultaneously with their creation.</w:t>
      </w:r>
      <w:r w:rsidRPr="00732CAD">
        <w:rPr>
          <w:rFonts w:ascii="Google Sans Text" w:eastAsia="Google Sans Text" w:hAnsi="Google Sans Text" w:cs="Google Sans Text"/>
          <w:color w:val="444746"/>
          <w:kern w:val="0"/>
          <w:sz w:val="24"/>
          <w:szCs w:val="24"/>
          <w:vertAlign w:val="superscript"/>
          <w:lang w:eastAsia="en-IN"/>
          <w14:ligatures w14:val="none"/>
        </w:rPr>
        <w:t>8</w:t>
      </w:r>
    </w:p>
    <w:p w14:paraId="6DC43E91" w14:textId="77777777" w:rsidR="00732CAD" w:rsidRPr="00732CAD" w:rsidRDefault="00732CAD" w:rsidP="00732CAD">
      <w:pPr>
        <w:widowControl w:val="0"/>
        <w:pBdr>
          <w:top w:val="nil"/>
          <w:left w:val="nil"/>
          <w:bottom w:val="nil"/>
          <w:right w:val="nil"/>
          <w:between w:val="nil"/>
        </w:pBdr>
        <w:spacing w:before="240" w:after="120" w:line="275" w:lineRule="auto"/>
        <w:outlineLvl w:val="2"/>
        <w:rPr>
          <w:rFonts w:ascii="Google Sans" w:eastAsia="Google Sans" w:hAnsi="Google Sans" w:cs="Google Sans"/>
          <w:b/>
          <w:bCs/>
          <w:color w:val="1F1F1F"/>
          <w:kern w:val="0"/>
          <w:sz w:val="28"/>
          <w:szCs w:val="28"/>
          <w:lang w:eastAsia="en-IN"/>
          <w14:ligatures w14:val="none"/>
        </w:rPr>
      </w:pPr>
      <w:r w:rsidRPr="00732CAD">
        <w:rPr>
          <w:rFonts w:ascii="Google Sans" w:eastAsia="Google Sans" w:hAnsi="Google Sans" w:cs="Google Sans"/>
          <w:b/>
          <w:bCs/>
          <w:color w:val="1F1F1F"/>
          <w:kern w:val="0"/>
          <w:sz w:val="28"/>
          <w:szCs w:val="28"/>
          <w:lang w:eastAsia="en-IN"/>
          <w14:ligatures w14:val="none"/>
        </w:rPr>
        <w:t>Corporate and Securities Law</w:t>
      </w:r>
    </w:p>
    <w:p w14:paraId="1CA12921" w14:textId="77777777" w:rsidR="00732CAD" w:rsidRPr="00732CAD" w:rsidRDefault="00732CAD" w:rsidP="00732CAD">
      <w:pPr>
        <w:widowControl w:val="0"/>
        <w:pBdr>
          <w:top w:val="nil"/>
          <w:left w:val="nil"/>
          <w:bottom w:val="nil"/>
          <w:right w:val="nil"/>
          <w:between w:val="nil"/>
        </w:pBdr>
        <w:spacing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1F1F1F"/>
          <w:kern w:val="0"/>
          <w:lang w:eastAsia="en-IN"/>
          <w14:ligatures w14:val="none"/>
        </w:rPr>
        <w:t xml:space="preserve">Recent trends indicate a focus on "Institutional Governance." The </w:t>
      </w:r>
      <w:r w:rsidRPr="00732CAD">
        <w:rPr>
          <w:rFonts w:ascii="Google Sans Text" w:eastAsia="Google Sans Text" w:hAnsi="Google Sans Text" w:cs="Google Sans Text"/>
          <w:i/>
          <w:iCs/>
          <w:color w:val="1F1F1F"/>
          <w:kern w:val="0"/>
          <w:lang w:eastAsia="en-IN"/>
          <w14:ligatures w14:val="none"/>
        </w:rPr>
        <w:t>Tata-Mistry</w:t>
      </w:r>
      <w:r w:rsidRPr="00732CAD">
        <w:rPr>
          <w:rFonts w:ascii="Google Sans Text" w:eastAsia="Google Sans Text" w:hAnsi="Google Sans Text" w:cs="Google Sans Text"/>
          <w:color w:val="1F1F1F"/>
          <w:kern w:val="0"/>
          <w:lang w:eastAsia="en-IN"/>
          <w14:ligatures w14:val="none"/>
        </w:rPr>
        <w:t xml:space="preserve"> case continues to be relevant for understanding the thresholds of "Oppression and Mismanagement".</w:t>
      </w:r>
      <w:r w:rsidRPr="00732CAD">
        <w:rPr>
          <w:rFonts w:ascii="Google Sans Text" w:eastAsia="Google Sans Text" w:hAnsi="Google Sans Text" w:cs="Google Sans Text"/>
          <w:color w:val="444746"/>
          <w:kern w:val="0"/>
          <w:sz w:val="24"/>
          <w:szCs w:val="24"/>
          <w:vertAlign w:val="superscript"/>
          <w:lang w:eastAsia="en-IN"/>
          <w14:ligatures w14:val="none"/>
        </w:rPr>
        <w:t>20</w:t>
      </w:r>
      <w:r w:rsidRPr="00732CAD">
        <w:rPr>
          <w:rFonts w:ascii="Google Sans Text" w:eastAsia="Google Sans Text" w:hAnsi="Google Sans Text" w:cs="Google Sans Text"/>
          <w:color w:val="1F1F1F"/>
          <w:kern w:val="0"/>
          <w:lang w:eastAsia="en-IN"/>
          <w14:ligatures w14:val="none"/>
        </w:rPr>
        <w:t xml:space="preserve"> Furthermore, SEBI’s enhanced Listing Obligations and Disclosure Requirements (LODR) for the top 1,000 listed companies, particularly regarding ESG and value-chain disclosures, are high-probability themes for 2027.</w:t>
      </w:r>
      <w:r w:rsidRPr="00732CAD">
        <w:rPr>
          <w:rFonts w:ascii="Google Sans Text" w:eastAsia="Google Sans Text" w:hAnsi="Google Sans Text" w:cs="Google Sans Text"/>
          <w:color w:val="444746"/>
          <w:kern w:val="0"/>
          <w:sz w:val="24"/>
          <w:szCs w:val="24"/>
          <w:vertAlign w:val="superscript"/>
          <w:lang w:eastAsia="en-IN"/>
          <w14:ligatures w14:val="none"/>
        </w:rPr>
        <w:t>22</w:t>
      </w:r>
      <w:r w:rsidRPr="00732CAD">
        <w:rPr>
          <w:rFonts w:ascii="Google Sans Text" w:eastAsia="Google Sans Text" w:hAnsi="Google Sans Text" w:cs="Google Sans Text"/>
          <w:color w:val="1F1F1F"/>
          <w:kern w:val="0"/>
          <w:lang w:eastAsia="en-IN"/>
          <w14:ligatures w14:val="none"/>
        </w:rPr>
        <w:t xml:space="preserve"> The </w:t>
      </w:r>
      <w:r w:rsidRPr="00732CAD">
        <w:rPr>
          <w:rFonts w:ascii="Google Sans Text" w:eastAsia="Google Sans Text" w:hAnsi="Google Sans Text" w:cs="Google Sans Text"/>
          <w:i/>
          <w:iCs/>
          <w:color w:val="1F1F1F"/>
          <w:kern w:val="0"/>
          <w:lang w:eastAsia="en-IN"/>
          <w14:ligatures w14:val="none"/>
        </w:rPr>
        <w:t>Vishal Tiwari</w:t>
      </w:r>
      <w:r w:rsidRPr="00732CAD">
        <w:rPr>
          <w:rFonts w:ascii="Google Sans Text" w:eastAsia="Google Sans Text" w:hAnsi="Google Sans Text" w:cs="Google Sans Text"/>
          <w:color w:val="1F1F1F"/>
          <w:kern w:val="0"/>
          <w:lang w:eastAsia="en-IN"/>
          <w14:ligatures w14:val="none"/>
        </w:rPr>
        <w:t xml:space="preserve"> judgment reinforces the principle that judicial review of regulatory policies must be limited to cases of "manifest arbitrariness".</w:t>
      </w:r>
      <w:r w:rsidRPr="00732CAD">
        <w:rPr>
          <w:rFonts w:ascii="Google Sans Text" w:eastAsia="Google Sans Text" w:hAnsi="Google Sans Text" w:cs="Google Sans Text"/>
          <w:color w:val="444746"/>
          <w:kern w:val="0"/>
          <w:sz w:val="24"/>
          <w:szCs w:val="24"/>
          <w:vertAlign w:val="superscript"/>
          <w:lang w:eastAsia="en-IN"/>
          <w14:ligatures w14:val="none"/>
        </w:rPr>
        <w:t>5</w:t>
      </w:r>
    </w:p>
    <w:p w14:paraId="6DB3928E" w14:textId="77777777" w:rsidR="00732CAD" w:rsidRPr="00732CAD" w:rsidRDefault="00732CAD" w:rsidP="00732CAD">
      <w:pPr>
        <w:widowControl w:val="0"/>
        <w:pBdr>
          <w:top w:val="nil"/>
          <w:left w:val="nil"/>
          <w:bottom w:val="nil"/>
          <w:right w:val="nil"/>
          <w:between w:val="nil"/>
        </w:pBdr>
        <w:spacing w:after="120" w:line="275" w:lineRule="auto"/>
        <w:outlineLvl w:val="2"/>
        <w:rPr>
          <w:rFonts w:ascii="Google Sans" w:eastAsia="Google Sans" w:hAnsi="Google Sans" w:cs="Google Sans"/>
          <w:b/>
          <w:bCs/>
          <w:color w:val="1F1F1F"/>
          <w:kern w:val="0"/>
          <w:sz w:val="28"/>
          <w:szCs w:val="28"/>
          <w:lang w:eastAsia="en-IN"/>
          <w14:ligatures w14:val="none"/>
        </w:rPr>
      </w:pPr>
      <w:r w:rsidRPr="00732CAD">
        <w:rPr>
          <w:rFonts w:ascii="Google Sans" w:eastAsia="Google Sans" w:hAnsi="Google Sans" w:cs="Google Sans"/>
          <w:b/>
          <w:bCs/>
          <w:color w:val="1F1F1F"/>
          <w:kern w:val="0"/>
          <w:sz w:val="28"/>
          <w:szCs w:val="28"/>
          <w:lang w:eastAsia="en-IN"/>
          <w14:ligatures w14:val="none"/>
        </w:rPr>
        <w:t>Table 3: Summary of Landmark Rulings Influencing 2027 Themes</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20"/>
        <w:gridCol w:w="3120"/>
        <w:gridCol w:w="3120"/>
      </w:tblGrid>
      <w:tr w:rsidR="00732CAD" w:rsidRPr="00732CAD" w14:paraId="4765EA7C" w14:textId="77777777" w:rsidTr="00D23A1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0A3AF0"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Case Name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83CBA7"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Primary Legal Issue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287D90"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b/>
                <w:bCs/>
                <w:color w:val="1F1F1F"/>
                <w:kern w:val="0"/>
                <w:lang w:eastAsia="en-IN"/>
                <w14:ligatures w14:val="none"/>
              </w:rPr>
            </w:pPr>
            <w:r w:rsidRPr="00732CAD">
              <w:rPr>
                <w:rFonts w:ascii="Google Sans Text" w:eastAsia="Google Sans Text" w:hAnsi="Google Sans Text" w:cs="Google Sans Text"/>
                <w:b/>
                <w:bCs/>
                <w:color w:val="1F1F1F"/>
                <w:kern w:val="0"/>
                <w:lang w:eastAsia="en-IN"/>
                <w14:ligatures w14:val="none"/>
              </w:rPr>
              <w:t>Contextual Significance</w:t>
            </w:r>
          </w:p>
        </w:tc>
      </w:tr>
      <w:tr w:rsidR="00732CAD" w:rsidRPr="00732CAD" w14:paraId="3282B3BE" w14:textId="77777777" w:rsidTr="00D23A1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E1637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i/>
                <w:iCs/>
                <w:color w:val="1F1F1F"/>
                <w:kern w:val="0"/>
                <w:lang w:eastAsia="en-IN"/>
                <w14:ligatures w14:val="none"/>
              </w:rPr>
            </w:pPr>
            <w:r w:rsidRPr="00732CAD">
              <w:rPr>
                <w:rFonts w:ascii="Google Sans Text" w:eastAsia="Google Sans Text" w:hAnsi="Google Sans Text" w:cs="Google Sans Text"/>
                <w:i/>
                <w:iCs/>
                <w:color w:val="1F1F1F"/>
                <w:kern w:val="0"/>
                <w:lang w:eastAsia="en-IN"/>
                <w14:ligatures w14:val="none"/>
              </w:rPr>
              <w:t>State of Punjab v. Davinder Singh</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0B1FD4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Sub-classification of SC/STs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4EBBAD"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Equality vs. Homogeneity within groups</w:t>
            </w:r>
          </w:p>
        </w:tc>
      </w:tr>
      <w:tr w:rsidR="00732CAD" w:rsidRPr="00732CAD" w14:paraId="4E6A82D0" w14:textId="77777777" w:rsidTr="00D23A1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36416F"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i/>
                <w:iCs/>
                <w:color w:val="1F1F1F"/>
                <w:kern w:val="0"/>
                <w:lang w:eastAsia="en-IN"/>
                <w14:ligatures w14:val="none"/>
              </w:rPr>
            </w:pPr>
            <w:r w:rsidRPr="00732CAD">
              <w:rPr>
                <w:rFonts w:ascii="Google Sans Text" w:eastAsia="Google Sans Text" w:hAnsi="Google Sans Text" w:cs="Google Sans Text"/>
                <w:i/>
                <w:iCs/>
                <w:color w:val="1F1F1F"/>
                <w:kern w:val="0"/>
                <w:lang w:eastAsia="en-IN"/>
                <w14:ligatures w14:val="none"/>
              </w:rPr>
              <w:t>ADR v. Union of India</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792F1E"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Electoral Bonds Anonymity</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116C0B"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RTI vs. Right to Privacy in political funding</w:t>
            </w:r>
          </w:p>
        </w:tc>
      </w:tr>
      <w:tr w:rsidR="00732CAD" w:rsidRPr="00732CAD" w14:paraId="171B870A" w14:textId="77777777" w:rsidTr="00D23A1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2954D5"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i/>
                <w:iCs/>
                <w:color w:val="1F1F1F"/>
                <w:kern w:val="0"/>
                <w:lang w:eastAsia="en-IN"/>
                <w14:ligatures w14:val="none"/>
              </w:rPr>
            </w:pPr>
            <w:r w:rsidRPr="00732CAD">
              <w:rPr>
                <w:rFonts w:ascii="Google Sans Text" w:eastAsia="Google Sans Text" w:hAnsi="Google Sans Text" w:cs="Google Sans Text"/>
                <w:i/>
                <w:iCs/>
                <w:color w:val="1F1F1F"/>
                <w:kern w:val="0"/>
                <w:lang w:eastAsia="en-IN"/>
                <w14:ligatures w14:val="none"/>
              </w:rPr>
              <w:t>AMU v. Naresh Agarwal</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A8561B"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Minority status of Universities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FC24C5"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Genesis test for Article 30 establishment</w:t>
            </w:r>
          </w:p>
        </w:tc>
      </w:tr>
      <w:tr w:rsidR="00732CAD" w:rsidRPr="00732CAD" w14:paraId="32C8C948" w14:textId="77777777" w:rsidTr="00D23A1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184C93"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i/>
                <w:iCs/>
                <w:color w:val="1F1F1F"/>
                <w:kern w:val="0"/>
                <w:lang w:eastAsia="en-IN"/>
                <w14:ligatures w14:val="none"/>
              </w:rPr>
            </w:pPr>
            <w:r w:rsidRPr="00732CAD">
              <w:rPr>
                <w:rFonts w:ascii="Google Sans Text" w:eastAsia="Google Sans Text" w:hAnsi="Google Sans Text" w:cs="Google Sans Text"/>
                <w:i/>
                <w:iCs/>
                <w:color w:val="1F1F1F"/>
                <w:kern w:val="0"/>
                <w:lang w:eastAsia="en-IN"/>
                <w14:ligatures w14:val="none"/>
              </w:rPr>
              <w:t>MADA v. Steel Authority</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3E50E2"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Mineral taxing rights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B1D1C2"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Federalism and State taxing competence</w:t>
            </w:r>
          </w:p>
        </w:tc>
      </w:tr>
      <w:tr w:rsidR="00732CAD" w:rsidRPr="00732CAD" w14:paraId="45E947DD" w14:textId="77777777" w:rsidTr="00D23A1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DEA5C6"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i/>
                <w:iCs/>
                <w:color w:val="1F1F1F"/>
                <w:kern w:val="0"/>
                <w:lang w:eastAsia="en-IN"/>
                <w14:ligatures w14:val="none"/>
              </w:rPr>
            </w:pPr>
            <w:r w:rsidRPr="00732CAD">
              <w:rPr>
                <w:rFonts w:ascii="Google Sans Text" w:eastAsia="Google Sans Text" w:hAnsi="Google Sans Text" w:cs="Google Sans Text"/>
                <w:i/>
                <w:iCs/>
                <w:color w:val="1F1F1F"/>
                <w:kern w:val="0"/>
                <w:lang w:eastAsia="en-IN"/>
                <w14:ligatures w14:val="none"/>
              </w:rPr>
              <w:t>Deepika Singh v. CAT</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8A75E0"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Atypical family structures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D8B6C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Transformative approach to Article 21</w:t>
            </w:r>
          </w:p>
        </w:tc>
      </w:tr>
      <w:tr w:rsidR="00732CAD" w:rsidRPr="00732CAD" w14:paraId="5438AFA1" w14:textId="77777777" w:rsidTr="00D23A1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76B304"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i/>
                <w:iCs/>
                <w:color w:val="1F1F1F"/>
                <w:kern w:val="0"/>
                <w:lang w:eastAsia="en-IN"/>
                <w14:ligatures w14:val="none"/>
              </w:rPr>
            </w:pPr>
            <w:proofErr w:type="spellStart"/>
            <w:r w:rsidRPr="00732CAD">
              <w:rPr>
                <w:rFonts w:ascii="Google Sans Text" w:eastAsia="Google Sans Text" w:hAnsi="Google Sans Text" w:cs="Google Sans Text"/>
                <w:i/>
                <w:iCs/>
                <w:color w:val="1F1F1F"/>
                <w:kern w:val="0"/>
                <w:lang w:eastAsia="en-IN"/>
                <w14:ligatures w14:val="none"/>
              </w:rPr>
              <w:t>Vanashakti</w:t>
            </w:r>
            <w:proofErr w:type="spellEnd"/>
            <w:r w:rsidRPr="00732CAD">
              <w:rPr>
                <w:rFonts w:ascii="Google Sans Text" w:eastAsia="Google Sans Text" w:hAnsi="Google Sans Text" w:cs="Google Sans Text"/>
                <w:i/>
                <w:iCs/>
                <w:color w:val="1F1F1F"/>
                <w:kern w:val="0"/>
                <w:lang w:eastAsia="en-IN"/>
                <w14:ligatures w14:val="none"/>
              </w:rPr>
              <w:t xml:space="preserve"> v. Union of India</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BE701A"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Ex-post facto clearances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DF7281"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Precautionary Principle in Environment law</w:t>
            </w:r>
          </w:p>
        </w:tc>
      </w:tr>
      <w:tr w:rsidR="00732CAD" w:rsidRPr="00732CAD" w14:paraId="64BAD490" w14:textId="77777777" w:rsidTr="00D23A1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B69B7E"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i/>
                <w:iCs/>
                <w:color w:val="1F1F1F"/>
                <w:kern w:val="0"/>
                <w:lang w:eastAsia="en-IN"/>
                <w14:ligatures w14:val="none"/>
              </w:rPr>
            </w:pPr>
            <w:r w:rsidRPr="00732CAD">
              <w:rPr>
                <w:rFonts w:ascii="Google Sans Text" w:eastAsia="Google Sans Text" w:hAnsi="Google Sans Text" w:cs="Google Sans Text"/>
                <w:i/>
                <w:iCs/>
                <w:color w:val="1F1F1F"/>
                <w:kern w:val="0"/>
                <w:lang w:eastAsia="en-IN"/>
                <w14:ligatures w14:val="none"/>
              </w:rPr>
              <w:t>Gayatri Balasamy v. ISG</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77E8C0"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Arbitral award modification</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28B529" w14:textId="77777777" w:rsidR="00732CAD" w:rsidRPr="00732CAD" w:rsidRDefault="00732CAD" w:rsidP="00732CAD">
            <w:pPr>
              <w:widowControl w:val="0"/>
              <w:pBdr>
                <w:top w:val="nil"/>
                <w:left w:val="nil"/>
                <w:bottom w:val="nil"/>
                <w:right w:val="nil"/>
                <w:between w:val="nil"/>
              </w:pBdr>
              <w:spacing w:before="120" w:after="120" w:line="275" w:lineRule="auto"/>
              <w:rPr>
                <w:rFonts w:ascii="Google Sans Text" w:eastAsia="Google Sans Text" w:hAnsi="Google Sans Text" w:cs="Google Sans Text"/>
                <w:color w:val="1F1F1F"/>
                <w:kern w:val="0"/>
                <w:lang w:eastAsia="en-IN"/>
                <w14:ligatures w14:val="none"/>
              </w:rPr>
            </w:pPr>
            <w:r w:rsidRPr="00732CAD">
              <w:rPr>
                <w:rFonts w:ascii="Google Sans Text" w:eastAsia="Google Sans Text" w:hAnsi="Google Sans Text" w:cs="Google Sans Text"/>
                <w:color w:val="1F1F1F"/>
                <w:kern w:val="0"/>
                <w:lang w:eastAsia="en-IN"/>
                <w14:ligatures w14:val="none"/>
              </w:rPr>
              <w:t>Section 34 of the Arbitration Act</w:t>
            </w:r>
          </w:p>
        </w:tc>
      </w:tr>
    </w:tbl>
    <w:p w14:paraId="6E7988A1" w14:textId="77777777" w:rsidR="00732CAD" w:rsidRPr="00732CAD" w:rsidRDefault="00732CAD" w:rsidP="00732CAD">
      <w:pPr>
        <w:widowControl w:val="0"/>
        <w:pBdr>
          <w:top w:val="nil"/>
          <w:left w:val="nil"/>
          <w:bottom w:val="nil"/>
          <w:right w:val="nil"/>
          <w:between w:val="nil"/>
        </w:pBdr>
        <w:spacing w:before="480" w:after="240" w:line="275" w:lineRule="auto"/>
        <w:rPr>
          <w:rFonts w:ascii="Google Sans Text" w:eastAsia="Google Sans Text" w:hAnsi="Google Sans Text" w:cs="Google Sans Text"/>
          <w:color w:val="444746"/>
          <w:kern w:val="0"/>
          <w:sz w:val="24"/>
          <w:szCs w:val="24"/>
          <w:vertAlign w:val="superscript"/>
          <w:lang w:eastAsia="en-IN"/>
          <w14:ligatures w14:val="none"/>
        </w:rPr>
      </w:pPr>
      <w:r w:rsidRPr="00732CAD">
        <w:rPr>
          <w:rFonts w:ascii="Google Sans Text" w:eastAsia="Google Sans Text" w:hAnsi="Google Sans Text" w:cs="Google Sans Text"/>
          <w:color w:val="444746"/>
          <w:kern w:val="0"/>
          <w:sz w:val="24"/>
          <w:szCs w:val="24"/>
          <w:vertAlign w:val="superscript"/>
          <w:lang w:eastAsia="en-IN"/>
          <w14:ligatures w14:val="none"/>
        </w:rPr>
        <w:lastRenderedPageBreak/>
        <w:t>10</w:t>
      </w:r>
    </w:p>
    <w:p w14:paraId="3DACAFF6" w14:textId="77777777" w:rsidR="002737A9" w:rsidRDefault="002737A9"/>
    <w:sectPr w:rsidR="002737A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384B" w14:textId="77777777" w:rsidR="00C44681" w:rsidRDefault="00C44681" w:rsidP="00623030">
      <w:pPr>
        <w:spacing w:after="0" w:line="240" w:lineRule="auto"/>
      </w:pPr>
      <w:r>
        <w:separator/>
      </w:r>
    </w:p>
  </w:endnote>
  <w:endnote w:type="continuationSeparator" w:id="0">
    <w:p w14:paraId="3E6A78D4" w14:textId="77777777" w:rsidR="00C44681" w:rsidRDefault="00C44681" w:rsidP="00623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charset w:val="00"/>
    <w:family w:val="auto"/>
    <w:pitch w:val="default"/>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977E" w14:textId="77777777" w:rsidR="00623030" w:rsidRDefault="00623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47A3" w14:textId="77777777" w:rsidR="00623030" w:rsidRDefault="00623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98B4" w14:textId="77777777" w:rsidR="00623030" w:rsidRDefault="00623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E373" w14:textId="77777777" w:rsidR="00C44681" w:rsidRDefault="00C44681" w:rsidP="00623030">
      <w:pPr>
        <w:spacing w:after="0" w:line="240" w:lineRule="auto"/>
      </w:pPr>
      <w:r>
        <w:separator/>
      </w:r>
    </w:p>
  </w:footnote>
  <w:footnote w:type="continuationSeparator" w:id="0">
    <w:p w14:paraId="0BC0F872" w14:textId="77777777" w:rsidR="00C44681" w:rsidRDefault="00C44681" w:rsidP="00623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3B7" w14:textId="77777777" w:rsidR="00623030" w:rsidRDefault="00623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729949"/>
      <w:docPartObj>
        <w:docPartGallery w:val="Watermarks"/>
        <w:docPartUnique/>
      </w:docPartObj>
    </w:sdtPr>
    <w:sdtContent>
      <w:p w14:paraId="0D3A8C27" w14:textId="0A5EC7FF" w:rsidR="00623030" w:rsidRDefault="00623030">
        <w:pPr>
          <w:pStyle w:val="Header"/>
        </w:pPr>
        <w:r>
          <w:rPr>
            <w:noProof/>
          </w:rPr>
          <w:pict w14:anchorId="0C944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412595" o:spid="_x0000_s1026" type="#_x0000_t136" style="position:absolute;margin-left:0;margin-top:0;width:540.85pt;height:95.4pt;rotation:315;z-index:-251657216;mso-position-horizontal:center;mso-position-horizontal-relative:margin;mso-position-vertical:center;mso-position-vertical-relative:margin" o:allowincell="f" fillcolor="silver" stroked="f">
              <v:fill opacity=".5"/>
              <v:textpath style="font-family:&quot;Calibri&quot;;font-size:1pt" string="BEYONDCLAT/AIR100"/>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4646" w14:textId="77777777" w:rsidR="00623030" w:rsidRDefault="00623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07E7F"/>
    <w:multiLevelType w:val="multilevel"/>
    <w:tmpl w:val="20E65F3A"/>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7C843558"/>
    <w:multiLevelType w:val="multilevel"/>
    <w:tmpl w:val="51E8C28C"/>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16cid:durableId="1434280645">
    <w:abstractNumId w:val="1"/>
  </w:num>
  <w:num w:numId="2" w16cid:durableId="20896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AD"/>
    <w:rsid w:val="00071962"/>
    <w:rsid w:val="000C7C77"/>
    <w:rsid w:val="0010094B"/>
    <w:rsid w:val="001C7FD5"/>
    <w:rsid w:val="002737A9"/>
    <w:rsid w:val="00285A9B"/>
    <w:rsid w:val="00544872"/>
    <w:rsid w:val="00623030"/>
    <w:rsid w:val="00663191"/>
    <w:rsid w:val="00680165"/>
    <w:rsid w:val="006C257C"/>
    <w:rsid w:val="00732CAD"/>
    <w:rsid w:val="00904198"/>
    <w:rsid w:val="009519BD"/>
    <w:rsid w:val="00B44BE9"/>
    <w:rsid w:val="00C10DF4"/>
    <w:rsid w:val="00C44681"/>
    <w:rsid w:val="00E46CB6"/>
    <w:rsid w:val="00FF45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57492"/>
  <w15:chartTrackingRefBased/>
  <w15:docId w15:val="{3359AB74-59A4-42E7-BF66-8425CB37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CAD"/>
    <w:rPr>
      <w:rFonts w:eastAsiaTheme="majorEastAsia" w:cstheme="majorBidi"/>
      <w:color w:val="272727" w:themeColor="text1" w:themeTint="D8"/>
    </w:rPr>
  </w:style>
  <w:style w:type="paragraph" w:styleId="Title">
    <w:name w:val="Title"/>
    <w:basedOn w:val="Normal"/>
    <w:next w:val="Normal"/>
    <w:link w:val="TitleChar"/>
    <w:uiPriority w:val="10"/>
    <w:qFormat/>
    <w:rsid w:val="00732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CAD"/>
    <w:pPr>
      <w:spacing w:before="160"/>
      <w:jc w:val="center"/>
    </w:pPr>
    <w:rPr>
      <w:i/>
      <w:iCs/>
      <w:color w:val="404040" w:themeColor="text1" w:themeTint="BF"/>
    </w:rPr>
  </w:style>
  <w:style w:type="character" w:customStyle="1" w:styleId="QuoteChar">
    <w:name w:val="Quote Char"/>
    <w:basedOn w:val="DefaultParagraphFont"/>
    <w:link w:val="Quote"/>
    <w:uiPriority w:val="29"/>
    <w:rsid w:val="00732CAD"/>
    <w:rPr>
      <w:i/>
      <w:iCs/>
      <w:color w:val="404040" w:themeColor="text1" w:themeTint="BF"/>
    </w:rPr>
  </w:style>
  <w:style w:type="paragraph" w:styleId="ListParagraph">
    <w:name w:val="List Paragraph"/>
    <w:basedOn w:val="Normal"/>
    <w:uiPriority w:val="34"/>
    <w:qFormat/>
    <w:rsid w:val="00732CAD"/>
    <w:pPr>
      <w:ind w:left="720"/>
      <w:contextualSpacing/>
    </w:pPr>
  </w:style>
  <w:style w:type="character" w:styleId="IntenseEmphasis">
    <w:name w:val="Intense Emphasis"/>
    <w:basedOn w:val="DefaultParagraphFont"/>
    <w:uiPriority w:val="21"/>
    <w:qFormat/>
    <w:rsid w:val="00732CAD"/>
    <w:rPr>
      <w:i/>
      <w:iCs/>
      <w:color w:val="2F5496" w:themeColor="accent1" w:themeShade="BF"/>
    </w:rPr>
  </w:style>
  <w:style w:type="paragraph" w:styleId="IntenseQuote">
    <w:name w:val="Intense Quote"/>
    <w:basedOn w:val="Normal"/>
    <w:next w:val="Normal"/>
    <w:link w:val="IntenseQuoteChar"/>
    <w:uiPriority w:val="30"/>
    <w:qFormat/>
    <w:rsid w:val="00732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CAD"/>
    <w:rPr>
      <w:i/>
      <w:iCs/>
      <w:color w:val="2F5496" w:themeColor="accent1" w:themeShade="BF"/>
    </w:rPr>
  </w:style>
  <w:style w:type="character" w:styleId="IntenseReference">
    <w:name w:val="Intense Reference"/>
    <w:basedOn w:val="DefaultParagraphFont"/>
    <w:uiPriority w:val="32"/>
    <w:qFormat/>
    <w:rsid w:val="00732CAD"/>
    <w:rPr>
      <w:b/>
      <w:bCs/>
      <w:smallCaps/>
      <w:color w:val="2F5496" w:themeColor="accent1" w:themeShade="BF"/>
      <w:spacing w:val="5"/>
    </w:rPr>
  </w:style>
  <w:style w:type="paragraph" w:styleId="Header">
    <w:name w:val="header"/>
    <w:basedOn w:val="Normal"/>
    <w:link w:val="HeaderChar"/>
    <w:uiPriority w:val="99"/>
    <w:unhideWhenUsed/>
    <w:rsid w:val="00623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030"/>
  </w:style>
  <w:style w:type="paragraph" w:styleId="Footer">
    <w:name w:val="footer"/>
    <w:basedOn w:val="Normal"/>
    <w:link w:val="FooterChar"/>
    <w:uiPriority w:val="99"/>
    <w:unhideWhenUsed/>
    <w:rsid w:val="00623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030"/>
  </w:style>
  <w:style w:type="character" w:styleId="Hyperlink">
    <w:name w:val="Hyperlink"/>
    <w:basedOn w:val="DefaultParagraphFont"/>
    <w:uiPriority w:val="99"/>
    <w:unhideWhenUsed/>
    <w:rsid w:val="00623030"/>
    <w:rPr>
      <w:color w:val="0563C1" w:themeColor="hyperlink"/>
      <w:u w:val="single"/>
    </w:rPr>
  </w:style>
  <w:style w:type="character" w:styleId="UnresolvedMention">
    <w:name w:val="Unresolved Mention"/>
    <w:basedOn w:val="DefaultParagraphFont"/>
    <w:uiPriority w:val="99"/>
    <w:semiHidden/>
    <w:unhideWhenUsed/>
    <w:rsid w:val="0062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LATPG2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E4C2-9650-4CA3-A830-F2489E53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1331</Words>
  <Characters>7588</Characters>
  <Application>Microsoft Office Word</Application>
  <DocSecurity>0</DocSecurity>
  <Lines>63</Lines>
  <Paragraphs>17</Paragraphs>
  <ScaleCrop>false</ScaleCrop>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Vedant Dhakad</dc:creator>
  <cp:keywords/>
  <dc:description/>
  <cp:lastModifiedBy>Vedant Dhakad</cp:lastModifiedBy>
  <cp:revision>2</cp:revision>
  <dcterms:created xsi:type="dcterms:W3CDTF">2026-01-25T10:09:00Z</dcterms:created>
  <dcterms:modified xsi:type="dcterms:W3CDTF">2026-01-25T10:13:00Z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7a64e06b-915f-4303-958b-f7ca8ba01675</vt:lpwstr>
  </property>
</Properties>
</file>