
<file path=[Content_Types].xml><?xml version="1.0" encoding="utf-8"?>
<Types xmlns="http://schemas.openxmlformats.org/package/2006/content-types">
  <Default Extension="pn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4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E79F9" w14:textId="44559D11" w:rsidR="00CB4F3F" w:rsidRPr="00735F35" w:rsidRDefault="00CB4F3F" w:rsidP="00CB4F3F">
      <w:r w:rsidRPr="00CB4F3F">
        <w:rPr>
          <w:b/>
          <w:bCs/>
          <w:sz w:val="36"/>
          <w:szCs w:val="36"/>
        </w:rPr>
        <w:t xml:space="preserve">EMBARGOED UNTIL JANUARY 7, 2026 – </w:t>
      </w:r>
      <w:r w:rsidR="006000B3">
        <w:rPr>
          <w:b/>
          <w:bCs/>
          <w:sz w:val="36"/>
          <w:szCs w:val="36"/>
        </w:rPr>
        <w:t>6</w:t>
      </w:r>
      <w:r w:rsidRPr="00CB4F3F">
        <w:rPr>
          <w:b/>
          <w:bCs/>
          <w:sz w:val="36"/>
          <w:szCs w:val="36"/>
        </w:rPr>
        <w:t xml:space="preserve">:00 </w:t>
      </w:r>
      <w:r w:rsidR="006000B3">
        <w:rPr>
          <w:b/>
          <w:bCs/>
          <w:sz w:val="36"/>
          <w:szCs w:val="36"/>
        </w:rPr>
        <w:t>AM</w:t>
      </w:r>
      <w:r w:rsidRPr="00CB4F3F">
        <w:rPr>
          <w:b/>
          <w:bCs/>
          <w:sz w:val="36"/>
          <w:szCs w:val="36"/>
        </w:rPr>
        <w:t xml:space="preserve"> EST</w:t>
      </w:r>
      <w:r w:rsidRPr="00CB4F3F">
        <w:rPr>
          <w:b/>
          <w:sz w:val="40"/>
          <w:szCs w:val="40"/>
        </w:rPr>
        <w:br/>
      </w:r>
      <w:r w:rsidR="00B8296A">
        <w:t>Dateline: Jersey City, NJ — January 7, 2026 — 6:00 AM Eastern</w:t>
      </w:r>
    </w:p>
    <w:p w14:paraId="5D9BDB78" w14:textId="25E72BA4" w:rsidR="00D0423F" w:rsidRDefault="00167BF4">
      <w:r>
        <w:rPr>
          <w:b/>
          <w:sz w:val="32"/>
        </w:rPr>
        <w:t>Solara AirCar</w:t>
      </w:r>
      <w:r w:rsidR="00D468B1">
        <w:rPr>
          <w:b/>
          <w:sz w:val="32"/>
        </w:rPr>
        <w:t>-2</w:t>
      </w:r>
      <w:r>
        <w:rPr>
          <w:b/>
          <w:sz w:val="32"/>
        </w:rPr>
        <w:t xml:space="preserve"> Unveils the Sky Economy</w:t>
      </w:r>
    </w:p>
    <w:p w14:paraId="3F3F7032" w14:textId="77777777" w:rsidR="00D0423F" w:rsidRDefault="00167BF4">
      <w:r>
        <w:t>An integrated dual-mode (drive + fly) personal mobility platform and premium unmanned ShiptoSky™ cargo service—designed to operate on 100% renewable energy</w:t>
      </w:r>
    </w:p>
    <w:p w14:paraId="7FC013B0" w14:textId="77777777" w:rsidR="00D0423F" w:rsidRDefault="00167BF4">
      <w:pPr>
        <w:jc w:val="center"/>
      </w:pPr>
      <w:r>
        <w:rPr>
          <w:noProof/>
        </w:rPr>
        <w:drawing>
          <wp:inline distT="0" distB="0" distL="0" distR="0" wp14:anchorId="0F8E2938" wp14:editId="5BCFF4F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way to Skywa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4BDD" w14:textId="2C1EEDA8" w:rsidR="00D0423F" w:rsidRDefault="00167BF4">
      <w:pPr>
        <w:jc w:val="center"/>
      </w:pPr>
      <w:r>
        <w:rPr>
          <w:i/>
        </w:rPr>
        <w:t>Figure 1. “Driveway to Skyway”—Solara AirCar</w:t>
      </w:r>
      <w:r w:rsidR="000B2EB8">
        <w:rPr>
          <w:i/>
        </w:rPr>
        <w:t>-2</w:t>
      </w:r>
      <w:r>
        <w:rPr>
          <w:i/>
        </w:rPr>
        <w:t xml:space="preserve"> driveway-ready visualization (prototype).</w:t>
      </w:r>
    </w:p>
    <w:p w14:paraId="1A2B19C1" w14:textId="77777777" w:rsidR="00D0423F" w:rsidRDefault="00167BF4">
      <w:r>
        <w:rPr>
          <w:b/>
        </w:rPr>
        <w:t>JERSEY CITY, NJ — December 23, 2025 —</w:t>
      </w:r>
    </w:p>
    <w:p w14:paraId="0287CAFF" w14:textId="77777777" w:rsidR="00D0423F" w:rsidRDefault="00167BF4">
      <w:r>
        <w:t>Solara AirCar™, an initiative of The Solara Collective, today unveiled a global media campaign for the Sky Economy—a new mobility and logistics layer connecting driveways to trade lanes with a 100% electric vehicle that drives and flies, and a premium, unmanned ShiptoSky™ container-lift service from cargo ship to end receiver.</w:t>
      </w:r>
    </w:p>
    <w:p w14:paraId="2E834FDC" w14:textId="77777777" w:rsidR="00D0423F" w:rsidRDefault="00167BF4">
      <w:r>
        <w:t>“Solara AirCar isn’t just a vehicle—it’s an economic inflection point,” said Lawrence K. Woods, Founding Executive Chairman &amp; Project Architect. “We’re bridging personal freedom and global commerce—fully electric, fully renewable, and inevitable.”</w:t>
      </w:r>
    </w:p>
    <w:p w14:paraId="7E9B7FBD" w14:textId="77777777" w:rsidR="00D0423F" w:rsidRDefault="00167BF4">
      <w:r>
        <w:rPr>
          <w:b/>
        </w:rPr>
        <w:lastRenderedPageBreak/>
        <w:t>Why now (independent market signals):</w:t>
      </w:r>
    </w:p>
    <w:p w14:paraId="2E807E2E" w14:textId="77777777" w:rsidR="00D0423F" w:rsidRDefault="00167BF4">
      <w:pPr>
        <w:pStyle w:val="ListBullet"/>
      </w:pPr>
      <w:r>
        <w:t>Air cargo tailwinds: Global demand hit a record in 2024 (+11.3% YoY) with yields still ~39% above 2019.</w:t>
      </w:r>
    </w:p>
    <w:p w14:paraId="127582C1" w14:textId="77777777" w:rsidR="00D0423F" w:rsidRDefault="00167BF4">
      <w:pPr>
        <w:pStyle w:val="ListBullet"/>
      </w:pPr>
      <w:r>
        <w:t>Port throughput resilience: 183.2M TEU processed in 2024 (+6% YoY), underscoring the need for faster discharge lanes.</w:t>
      </w:r>
    </w:p>
    <w:p w14:paraId="4125EA00" w14:textId="77777777" w:rsidR="00D0423F" w:rsidRDefault="00167BF4">
      <w:pPr>
        <w:pStyle w:val="ListBullet"/>
      </w:pPr>
      <w:r>
        <w:t>Urban Air Mobility scaling: Market forecasts point to $4.6B (2024) → $23.5B (2030) → $41.5B (2035).</w:t>
      </w:r>
    </w:p>
    <w:p w14:paraId="668ECB34" w14:textId="77777777" w:rsidR="00D0423F" w:rsidRDefault="00167BF4">
      <w:pPr>
        <w:pStyle w:val="ListBullet"/>
      </w:pPr>
      <w:r>
        <w:t>Smart ports investing: Digital/low-carbon upgrades expected to expand from $4.49B (2025) to $11.06B (2030).</w:t>
      </w:r>
    </w:p>
    <w:p w14:paraId="0F16757E" w14:textId="77777777" w:rsidR="00D0423F" w:rsidRDefault="00167BF4">
      <w:r>
        <w:rPr>
          <w:b/>
        </w:rPr>
        <w:t>Two complementary products:</w:t>
      </w:r>
    </w:p>
    <w:p w14:paraId="6BA60FF4" w14:textId="77777777" w:rsidR="00D0423F" w:rsidRDefault="00167BF4">
      <w:r>
        <w:t>1) Solara AirCar™ (Personal) — “Driveway to Skyway.” A two-seat ground/air VTOL, 100% electric and designed for safe, quiet, clean neighborhood operations (program milestones forthcoming).</w:t>
      </w:r>
    </w:p>
    <w:p w14:paraId="5CBEF1C9" w14:textId="77777777" w:rsidR="00D0423F" w:rsidRDefault="00167BF4">
      <w:pPr>
        <w:jc w:val="center"/>
      </w:pPr>
      <w:r>
        <w:rPr>
          <w:noProof/>
        </w:rPr>
        <w:drawing>
          <wp:inline distT="0" distB="0" distL="0" distR="0" wp14:anchorId="53F5038A" wp14:editId="7995A93C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 eF-150 and Solara AirCa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8676" w14:textId="6AC45EB9" w:rsidR="00D0423F" w:rsidRDefault="00167BF4">
      <w:pPr>
        <w:jc w:val="center"/>
      </w:pPr>
      <w:r>
        <w:rPr>
          <w:i/>
        </w:rPr>
        <w:t>Figure 2. Solara AirCar</w:t>
      </w:r>
      <w:r w:rsidR="000B2EB8">
        <w:rPr>
          <w:i/>
        </w:rPr>
        <w:t>-2</w:t>
      </w:r>
      <w:r>
        <w:rPr>
          <w:i/>
        </w:rPr>
        <w:t xml:space="preserve"> visualization shown alongside a production pickup for illustrative scale—no third‑party affiliation implied.</w:t>
      </w:r>
    </w:p>
    <w:p w14:paraId="7389198E" w14:textId="77777777" w:rsidR="00D0423F" w:rsidRDefault="00167BF4">
      <w:r>
        <w:t>2) ShiptoSky™ (Industrial) — “From Port to Person, in Hours.” An unmanned aerial container-lift + trunk service moving standardized modules directly from ships/terminals to inland receivers—</w:t>
      </w:r>
      <w:r>
        <w:lastRenderedPageBreak/>
        <w:t>compressing days to hours and bypassing multi-stop road bottlenecks, aligned with smart-port automation (IoT/AI/AGVs).</w:t>
      </w:r>
    </w:p>
    <w:p w14:paraId="6DA661BB" w14:textId="77777777" w:rsidR="00D0423F" w:rsidRDefault="00167BF4">
      <w:pPr>
        <w:jc w:val="center"/>
      </w:pPr>
      <w:r>
        <w:rPr>
          <w:noProof/>
        </w:rPr>
        <w:drawing>
          <wp:inline distT="0" distB="0" distL="0" distR="0" wp14:anchorId="7D8A5668" wp14:editId="3F21DE79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er (54).pngSolara AirLift (Heavy-Lift VTOL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3A99" w14:textId="77777777" w:rsidR="00D0423F" w:rsidRDefault="00167BF4">
      <w:pPr>
        <w:jc w:val="center"/>
      </w:pPr>
      <w:r>
        <w:rPr>
          <w:i/>
        </w:rPr>
        <w:t>Figure 3. ShiptoSky™ heavy-lift VTOL concept performing standardized container-lift over a cargo vessel—operations subject to regulatory approvals.</w:t>
      </w:r>
    </w:p>
    <w:p w14:paraId="5AD4B634" w14:textId="77777777" w:rsidR="00D0423F" w:rsidRDefault="00167BF4">
      <w:r>
        <w:rPr>
          <w:b/>
        </w:rPr>
        <w:t>Global automaker impact (condensed):</w:t>
      </w:r>
    </w:p>
    <w:p w14:paraId="2D5ED2B1" w14:textId="77777777" w:rsidR="00D0423F" w:rsidRDefault="00167BF4">
      <w:pPr>
        <w:pStyle w:val="ListBullet"/>
      </w:pPr>
      <w:r>
        <w:t>Toyota × Joby: Plans to double U.S. eVTOL manufacturing; strategic manufacturing alliance.</w:t>
      </w:r>
    </w:p>
    <w:p w14:paraId="29C59610" w14:textId="77777777" w:rsidR="00D0423F" w:rsidRDefault="00167BF4">
      <w:pPr>
        <w:pStyle w:val="ListBullet"/>
      </w:pPr>
      <w:r>
        <w:t>Stellantis × Archer: ~400,000 sq ft Covington, GA facility ramping; progressing to exclusive contract manufacturing; scale goal up to 650/year by 2030.</w:t>
      </w:r>
    </w:p>
    <w:p w14:paraId="1C1A9B69" w14:textId="77777777" w:rsidR="00D0423F" w:rsidRDefault="00167BF4">
      <w:pPr>
        <w:pStyle w:val="ListBullet"/>
      </w:pPr>
      <w:r>
        <w:t>Hyundai (Supernal): Tech-demonstrator flight testing and ecosystem partnerships toward 2028 commercialization.</w:t>
      </w:r>
    </w:p>
    <w:p w14:paraId="43C8DC71" w14:textId="77777777" w:rsidR="00D0423F" w:rsidRDefault="00167BF4">
      <w:pPr>
        <w:pStyle w:val="ListBullet"/>
      </w:pPr>
      <w:r>
        <w:t>Honda: FAA exemption for subscale eVTOL; full-scale build by end-2025 and first flight targeted March 2026 (hybrid-electric architecture).</w:t>
      </w:r>
    </w:p>
    <w:p w14:paraId="0BBDB7F7" w14:textId="77777777" w:rsidR="00D0423F" w:rsidRDefault="00167BF4">
      <w:pPr>
        <w:pStyle w:val="ListBullet"/>
      </w:pPr>
      <w:r>
        <w:t xml:space="preserve">Volkswagen Group: </w:t>
      </w:r>
      <w:proofErr w:type="spellStart"/>
      <w:r>
        <w:t>Gen.Urban</w:t>
      </w:r>
      <w:proofErr w:type="spellEnd"/>
      <w:r>
        <w:t xml:space="preserve"> autonomous testing in Wolfsburg focused on UX/digital interiors.</w:t>
      </w:r>
    </w:p>
    <w:p w14:paraId="08473B34" w14:textId="77777777" w:rsidR="00D0423F" w:rsidRDefault="00167BF4">
      <w:r>
        <w:rPr>
          <w:b/>
        </w:rPr>
        <w:t>Pilot corridors (media exclusives available):</w:t>
      </w:r>
    </w:p>
    <w:p w14:paraId="2FB6DD68" w14:textId="77777777" w:rsidR="00D0423F" w:rsidRDefault="00167BF4">
      <w:pPr>
        <w:pStyle w:val="ListBullet"/>
      </w:pPr>
      <w:r>
        <w:lastRenderedPageBreak/>
        <w:t>United States: LA/Long Beach ↔ Inland Empire (electronics, pharma, peak e-commerce).</w:t>
      </w:r>
    </w:p>
    <w:p w14:paraId="1558BC5F" w14:textId="77777777" w:rsidR="00D0423F" w:rsidRDefault="00167BF4">
      <w:pPr>
        <w:pStyle w:val="ListBullet"/>
      </w:pPr>
      <w:r>
        <w:t xml:space="preserve">Europe: Rotterdam ↔ </w:t>
      </w:r>
      <w:proofErr w:type="spellStart"/>
      <w:r>
        <w:t>Ruhrgebiet</w:t>
      </w:r>
      <w:proofErr w:type="spellEnd"/>
      <w:r>
        <w:t xml:space="preserve"> (automotive/chemicals; smart-terminal leadership).</w:t>
      </w:r>
    </w:p>
    <w:p w14:paraId="083F36F9" w14:textId="77777777" w:rsidR="00D0423F" w:rsidRDefault="00167BF4">
      <w:pPr>
        <w:pStyle w:val="ListBullet"/>
      </w:pPr>
      <w:r>
        <w:t>Africa: Lagos ↔ Abuja (rapid urbanization; congested road networks).</w:t>
      </w:r>
    </w:p>
    <w:p w14:paraId="7C2C933E" w14:textId="77777777" w:rsidR="00D0423F" w:rsidRDefault="00167BF4">
      <w:pPr>
        <w:pStyle w:val="ListBullet"/>
      </w:pPr>
      <w:r>
        <w:t>Asia-Pacific: Singapore ↔ Jakarta (regional e-commerce; port digitization).</w:t>
      </w:r>
    </w:p>
    <w:p w14:paraId="5519B8D8" w14:textId="77777777" w:rsidR="00D0423F" w:rsidRDefault="00167BF4">
      <w:r>
        <w:rPr>
          <w:b/>
        </w:rPr>
        <w:t>Illustrative adoption &amp; revenue (forward-looking):</w:t>
      </w:r>
    </w:p>
    <w:p w14:paraId="56D5121B" w14:textId="77777777" w:rsidR="00D0423F" w:rsidRDefault="00167BF4">
      <w:pPr>
        <w:pStyle w:val="ListBullet"/>
      </w:pPr>
      <w:r>
        <w:t>Consumer (AirCar): Premium lease + service plans in select metros (Years 1–2); $250–$500M cumulative potential across two regions (Years 3–5), subject to certification and vertiport access.</w:t>
      </w:r>
    </w:p>
    <w:p w14:paraId="47247544" w14:textId="77777777" w:rsidR="00D0423F" w:rsidRDefault="00167BF4">
      <w:pPr>
        <w:pStyle w:val="ListBullet"/>
      </w:pPr>
      <w:r>
        <w:t>Industrial (ShiptoSky™): $25–$60M pilot-lane revenue (Year 1); $400–$800M cumulative potential across 6–10 corridors (Years 2–5), tied to container volumes and air-cargo yields.</w:t>
      </w:r>
    </w:p>
    <w:p w14:paraId="5CB39B47" w14:textId="77777777" w:rsidR="00D0423F" w:rsidRDefault="00167BF4">
      <w:r>
        <w:rPr>
          <w:b/>
        </w:rPr>
        <w:t>Technology &amp; sustainability:</w:t>
      </w:r>
    </w:p>
    <w:p w14:paraId="7158CA02" w14:textId="77777777" w:rsidR="00D0423F" w:rsidRDefault="00167BF4">
      <w:r>
        <w:t>First-to-market claim: “100% electric ground/air VTOL powered entirely by renewable energy” — patents pending. ESG impact: Electrified aerial legs cut multi-stop road emissions and lead times; fewer handoffs reduce buffer inventory and waste; smart-port integrations enable real-time transparency.</w:t>
      </w:r>
    </w:p>
    <w:p w14:paraId="764A990C" w14:textId="77777777" w:rsidR="00D0423F" w:rsidRDefault="00167BF4">
      <w:r>
        <w:rPr>
          <w:b/>
        </w:rPr>
        <w:t>Media &amp; investor access:</w:t>
      </w:r>
    </w:p>
    <w:p w14:paraId="26DE57F9" w14:textId="77777777" w:rsidR="00D0423F" w:rsidRDefault="00167BF4">
      <w:pPr>
        <w:pStyle w:val="ListBullet"/>
      </w:pPr>
      <w:r>
        <w:t>First Look: Driveway-ready AirCar prototype photography/animations.</w:t>
      </w:r>
    </w:p>
    <w:p w14:paraId="3AE1B39D" w14:textId="77777777" w:rsidR="00D0423F" w:rsidRDefault="00167BF4">
      <w:pPr>
        <w:pStyle w:val="ListBullet"/>
      </w:pPr>
      <w:r>
        <w:t>Deep Dive: Technical brief on renewable-energy integration and ShiptoSky™ operations.</w:t>
      </w:r>
    </w:p>
    <w:p w14:paraId="7FB464CC" w14:textId="77777777" w:rsidR="00D0423F" w:rsidRDefault="00167BF4">
      <w:pPr>
        <w:pStyle w:val="ListBullet"/>
      </w:pPr>
      <w:r>
        <w:t>Executive Interview: Lawrence K. Woods on Sky Economy timelines.</w:t>
      </w:r>
    </w:p>
    <w:p w14:paraId="468BF359" w14:textId="77777777" w:rsidR="00D0423F" w:rsidRDefault="00167BF4">
      <w:pPr>
        <w:pStyle w:val="ListBullet"/>
      </w:pPr>
      <w:r>
        <w:t>Pilot Corridors: Onsite filming with port/city partners (under NDA).</w:t>
      </w:r>
    </w:p>
    <w:p w14:paraId="02038650" w14:textId="77777777" w:rsidR="00D0423F" w:rsidRPr="00061D3C" w:rsidRDefault="00167BF4">
      <w:pPr>
        <w:rPr>
          <w:lang w:val="es-ES"/>
        </w:rPr>
      </w:pPr>
      <w:r w:rsidRPr="00061D3C">
        <w:rPr>
          <w:lang w:val="es-ES"/>
        </w:rPr>
        <w:t xml:space="preserve">Media </w:t>
      </w:r>
      <w:proofErr w:type="spellStart"/>
      <w:r w:rsidRPr="00061D3C">
        <w:rPr>
          <w:lang w:val="es-ES"/>
        </w:rPr>
        <w:t>Inquiries</w:t>
      </w:r>
      <w:proofErr w:type="spellEnd"/>
      <w:r w:rsidRPr="00061D3C">
        <w:rPr>
          <w:lang w:val="es-ES"/>
        </w:rPr>
        <w:t>: press@thesolaracollective.com • +1 201 380 6565</w:t>
      </w:r>
    </w:p>
    <w:p w14:paraId="5C444A88" w14:textId="77777777" w:rsidR="00D0423F" w:rsidRDefault="00167BF4">
      <w:r>
        <w:t>Investor Relations: ir@thesolaracollective.com</w:t>
      </w:r>
    </w:p>
    <w:p w14:paraId="42EC2856" w14:textId="77777777" w:rsidR="00D0423F" w:rsidRDefault="00167BF4">
      <w:r>
        <w:t>About Solara AirCar™ / The Solara Collective</w:t>
      </w:r>
    </w:p>
    <w:p w14:paraId="78D44F6B" w14:textId="77777777" w:rsidR="00D0423F" w:rsidRDefault="00167BF4">
      <w:r>
        <w:t>Solara AirCar™ designs personal VTOL vehicles and autonomous aerial logistics systems powered by 100% renewable energy, delivering freedom for people and speed for global trade—from driveways to terminals, across the Sky Economy.</w:t>
      </w:r>
    </w:p>
    <w:p w14:paraId="03F7B675" w14:textId="77777777" w:rsidR="00D0423F" w:rsidRDefault="00167BF4">
      <w:r>
        <w:t>Legal notice: Visualizations are prototype concepts for media purposes; specifications subject to change. Third‑party marks and products shown are the property of their respective owners; no endorsement or affiliation implied.</w:t>
      </w:r>
    </w:p>
    <w:p w14:paraId="4211F1CE" w14:textId="77777777" w:rsidR="001E34D3" w:rsidRDefault="001E34D3">
      <w:r>
        <w:br w:type="page"/>
      </w:r>
    </w:p>
    <w:p w14:paraId="511F6046" w14:textId="6689731C" w:rsidR="00D0423F" w:rsidRDefault="00167BF4">
      <w:r>
        <w:lastRenderedPageBreak/>
        <w:t>Notes to Editors — Independent Sources</w:t>
      </w:r>
    </w:p>
    <w:p w14:paraId="3BBD38FE" w14:textId="77777777" w:rsidR="00D0423F" w:rsidRDefault="00167BF4">
      <w:pPr>
        <w:pStyle w:val="ListNumber"/>
      </w:pPr>
      <w:r>
        <w:t>[1] IATA: Global air cargo demand +11.3% YoY; yields ~39% above 2019 (Jan 29, 2025).</w:t>
      </w:r>
    </w:p>
    <w:p w14:paraId="654040C3" w14:textId="77777777" w:rsidR="00D0423F" w:rsidRDefault="00167BF4">
      <w:pPr>
        <w:pStyle w:val="ListNumber"/>
      </w:pPr>
      <w:r>
        <w:t xml:space="preserve">[2] Container Trades Statistics (CTS) 2024: 183.2M TEU, +6% YoY; coverage via </w:t>
      </w:r>
      <w:proofErr w:type="spellStart"/>
      <w:r>
        <w:t>PortCalls</w:t>
      </w:r>
      <w:proofErr w:type="spellEnd"/>
      <w:r>
        <w:t xml:space="preserve"> Asia.</w:t>
      </w:r>
    </w:p>
    <w:p w14:paraId="6D016688" w14:textId="77777777" w:rsidR="00D0423F" w:rsidRDefault="00167BF4">
      <w:pPr>
        <w:pStyle w:val="ListNumber"/>
      </w:pPr>
      <w:r>
        <w:t>[3] Urban Air Mobility Market (</w:t>
      </w:r>
      <w:proofErr w:type="spellStart"/>
      <w:r>
        <w:t>ResearchAndMarkets</w:t>
      </w:r>
      <w:proofErr w:type="spellEnd"/>
      <w:r>
        <w:t xml:space="preserve"> via GlobeNewswire, Apr 17, 2025).</w:t>
      </w:r>
    </w:p>
    <w:p w14:paraId="69C76C9C" w14:textId="77777777" w:rsidR="00D0423F" w:rsidRDefault="00167BF4">
      <w:pPr>
        <w:pStyle w:val="ListNumber"/>
      </w:pPr>
      <w:r>
        <w:t>[4] Smart Port Market (Mordor Intelligence / Grand View Research).</w:t>
      </w:r>
    </w:p>
    <w:p w14:paraId="229E8A98" w14:textId="77777777" w:rsidR="00D0423F" w:rsidRDefault="00167BF4">
      <w:pPr>
        <w:pStyle w:val="ListNumber"/>
      </w:pPr>
      <w:r>
        <w:t>[5] Joby: Plans to double U.S. manufacturing; Toyota alliance (Dec 17, 2025).</w:t>
      </w:r>
    </w:p>
    <w:p w14:paraId="3737AE9A" w14:textId="77777777" w:rsidR="00D0423F" w:rsidRDefault="00167BF4">
      <w:pPr>
        <w:pStyle w:val="ListNumber"/>
      </w:pPr>
      <w:r>
        <w:t xml:space="preserve">[6] </w:t>
      </w:r>
      <w:proofErr w:type="spellStart"/>
      <w:r>
        <w:t>AVweb</w:t>
      </w:r>
      <w:proofErr w:type="spellEnd"/>
      <w:r>
        <w:t xml:space="preserve"> coverage (Dec 17, 2025).</w:t>
      </w:r>
    </w:p>
    <w:p w14:paraId="6E322B6D" w14:textId="77777777" w:rsidR="00D0423F" w:rsidRDefault="00167BF4">
      <w:pPr>
        <w:pStyle w:val="ListNumber"/>
      </w:pPr>
      <w:r>
        <w:t>[7] Archer Investors: Covington, GA ARC facility; exclusive manufacturing with Stellantis.</w:t>
      </w:r>
    </w:p>
    <w:p w14:paraId="15B8DA81" w14:textId="77777777" w:rsidR="00D0423F" w:rsidRDefault="00167BF4">
      <w:pPr>
        <w:pStyle w:val="ListNumber"/>
      </w:pPr>
      <w:r>
        <w:t>[8] AdvancedManufacturing.org (Jan 2, 2025).</w:t>
      </w:r>
    </w:p>
    <w:p w14:paraId="6FA33B89" w14:textId="77777777" w:rsidR="00D0423F" w:rsidRDefault="00167BF4">
      <w:pPr>
        <w:pStyle w:val="ListNumber"/>
      </w:pPr>
      <w:r>
        <w:t>[9] AIN: Hyundai seeks new leadership for Supernal; program status (Aug 28, 2025).</w:t>
      </w:r>
    </w:p>
    <w:p w14:paraId="642FEB35" w14:textId="77777777" w:rsidR="00D0423F" w:rsidRDefault="00167BF4">
      <w:pPr>
        <w:pStyle w:val="ListNumber"/>
      </w:pPr>
      <w:r>
        <w:t>[10] Supernal newsroom / program updates.</w:t>
      </w:r>
    </w:p>
    <w:p w14:paraId="1D5F3496" w14:textId="77777777" w:rsidR="00D0423F" w:rsidRDefault="00167BF4">
      <w:pPr>
        <w:pStyle w:val="ListNumber"/>
      </w:pPr>
      <w:r>
        <w:t>[11] AIN: FAA exemption for Honda subscale eVTOL (Nov 12, 2024).</w:t>
      </w:r>
    </w:p>
    <w:p w14:paraId="68711A48" w14:textId="77777777" w:rsidR="00D0423F" w:rsidRDefault="00167BF4">
      <w:pPr>
        <w:pStyle w:val="ListNumber"/>
      </w:pPr>
      <w:r>
        <w:t xml:space="preserve">[12] </w:t>
      </w:r>
      <w:proofErr w:type="spellStart"/>
      <w:r>
        <w:t>AeroTime</w:t>
      </w:r>
      <w:proofErr w:type="spellEnd"/>
      <w:r>
        <w:t>: Honda full-scale prototype / first flight timeline (Nov 21, 2025).</w:t>
      </w:r>
    </w:p>
    <w:p w14:paraId="560A3A69" w14:textId="77777777" w:rsidR="00D0423F" w:rsidRDefault="00167BF4">
      <w:pPr>
        <w:pStyle w:val="ListNumber"/>
      </w:pPr>
      <w:r>
        <w:t xml:space="preserve">[13] </w:t>
      </w:r>
      <w:proofErr w:type="spellStart"/>
      <w:r>
        <w:t>EuropaWire</w:t>
      </w:r>
      <w:proofErr w:type="spellEnd"/>
      <w:r>
        <w:t xml:space="preserve">: Volkswagen </w:t>
      </w:r>
      <w:proofErr w:type="spellStart"/>
      <w:r>
        <w:t>Gen.Urban</w:t>
      </w:r>
      <w:proofErr w:type="spellEnd"/>
      <w:r>
        <w:t xml:space="preserve"> autonomous testing (Dec 12, 2025).</w:t>
      </w:r>
    </w:p>
    <w:p w14:paraId="616FAA74" w14:textId="77777777" w:rsidR="00D0423F" w:rsidRDefault="00167BF4">
      <w:pPr>
        <w:pStyle w:val="ListNumber"/>
      </w:pPr>
      <w:r>
        <w:t xml:space="preserve">[14] Self Drive News: </w:t>
      </w:r>
      <w:proofErr w:type="spellStart"/>
      <w:r>
        <w:t>Gen.Urban</w:t>
      </w:r>
      <w:proofErr w:type="spellEnd"/>
      <w:r>
        <w:t xml:space="preserve"> testing / UX details (Dec 15, 2025).</w:t>
      </w:r>
    </w:p>
    <w:p w14:paraId="13EB1BF4" w14:textId="77777777" w:rsidR="00D0423F" w:rsidRDefault="00167BF4">
      <w:pPr>
        <w:pStyle w:val="ListNumber"/>
      </w:pPr>
      <w:r>
        <w:t xml:space="preserve">[15] </w:t>
      </w:r>
      <w:proofErr w:type="spellStart"/>
      <w:r>
        <w:t>ResearchAndMarkets</w:t>
      </w:r>
      <w:proofErr w:type="spellEnd"/>
      <w:r>
        <w:t xml:space="preserve"> / </w:t>
      </w:r>
      <w:proofErr w:type="spellStart"/>
      <w:r>
        <w:t>BusinessWire</w:t>
      </w:r>
      <w:proofErr w:type="spellEnd"/>
      <w:r>
        <w:t>: SDV market to ~$1.6T by 2030 (Jul 25, 2025).</w:t>
      </w:r>
    </w:p>
    <w:p w14:paraId="3D9C2420" w14:textId="77777777" w:rsidR="00D0423F" w:rsidRDefault="00167BF4">
      <w:pPr>
        <w:pStyle w:val="ListNumber"/>
      </w:pPr>
      <w:r>
        <w:t>[16] McKinsey: Automotive software &amp; electronics to ~$469B by 2030.</w:t>
      </w:r>
    </w:p>
    <w:p w14:paraId="2A22BA37" w14:textId="77777777" w:rsidR="00D0423F" w:rsidRDefault="00167BF4">
      <w:pPr>
        <w:pStyle w:val="ListNumber"/>
      </w:pPr>
      <w:r>
        <w:t>[17] IEA Global EV Outlook 2025.</w:t>
      </w:r>
    </w:p>
    <w:p w14:paraId="114E9A9D" w14:textId="77777777" w:rsidR="00D0423F" w:rsidRDefault="00167BF4">
      <w:r>
        <w:t>Forward-Looking Statements: This release includes forward-looking statements regarding projected revenues, adoption timelines, and regulatory milestones. Actual results may differ based on certification outcomes, infrastructure readiness, market conditions, and other risks.</w:t>
      </w:r>
    </w:p>
    <w:sectPr w:rsidR="00D0423F" w:rsidSect="000346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E7C8D" w14:textId="77777777" w:rsidR="002813A4" w:rsidRDefault="002813A4" w:rsidP="001E34D3">
      <w:pPr>
        <w:spacing w:after="0" w:line="240" w:lineRule="auto"/>
      </w:pPr>
      <w:r>
        <w:separator/>
      </w:r>
    </w:p>
  </w:endnote>
  <w:endnote w:type="continuationSeparator" w:id="0">
    <w:p w14:paraId="57034732" w14:textId="77777777" w:rsidR="002813A4" w:rsidRDefault="002813A4" w:rsidP="001E3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3FFB" w14:textId="77777777" w:rsidR="00F3153C" w:rsidRDefault="00F31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796E" w14:textId="77777777" w:rsidR="00F3153C" w:rsidRDefault="00F31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9AE2E" w14:textId="77777777" w:rsidR="00F3153C" w:rsidRDefault="00F31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D30A4" w14:textId="77777777" w:rsidR="002813A4" w:rsidRDefault="002813A4" w:rsidP="001E34D3">
      <w:pPr>
        <w:spacing w:after="0" w:line="240" w:lineRule="auto"/>
      </w:pPr>
      <w:r>
        <w:separator/>
      </w:r>
    </w:p>
  </w:footnote>
  <w:footnote w:type="continuationSeparator" w:id="0">
    <w:p w14:paraId="712212E0" w14:textId="77777777" w:rsidR="002813A4" w:rsidRDefault="002813A4" w:rsidP="001E3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56002" w14:textId="77777777" w:rsidR="00F3153C" w:rsidRDefault="00F31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53A0F" w14:textId="253BBE71" w:rsidR="001E34D3" w:rsidRDefault="001E34D3" w:rsidP="001E34D3">
    <w:pPr>
      <w:pStyle w:val="Header"/>
      <w:jc w:val="center"/>
    </w:pPr>
    <w:r>
      <w:rPr>
        <w:noProof/>
      </w:rPr>
      <w:drawing>
        <wp:inline distT="0" distB="0" distL="0" distR="0" wp14:anchorId="0005C30E" wp14:editId="413692BB">
          <wp:extent cx="866775" cy="866775"/>
          <wp:effectExtent l="0" t="0" r="0" b="0"/>
          <wp:docPr id="16327535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75358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45758" w14:textId="77777777" w:rsidR="00F3153C" w:rsidRDefault="00F31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0647677">
    <w:abstractNumId w:val="8"/>
  </w:num>
  <w:num w:numId="2" w16cid:durableId="1782525865">
    <w:abstractNumId w:val="6"/>
  </w:num>
  <w:num w:numId="3" w16cid:durableId="1870605248">
    <w:abstractNumId w:val="5"/>
  </w:num>
  <w:num w:numId="4" w16cid:durableId="202256684">
    <w:abstractNumId w:val="4"/>
  </w:num>
  <w:num w:numId="5" w16cid:durableId="798375951">
    <w:abstractNumId w:val="7"/>
  </w:num>
  <w:num w:numId="6" w16cid:durableId="401829023">
    <w:abstractNumId w:val="3"/>
  </w:num>
  <w:num w:numId="7" w16cid:durableId="1773553204">
    <w:abstractNumId w:val="2"/>
  </w:num>
  <w:num w:numId="8" w16cid:durableId="1763604129">
    <w:abstractNumId w:val="1"/>
  </w:num>
  <w:num w:numId="9" w16cid:durableId="1975326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1D3C"/>
    <w:rsid w:val="000B2EB8"/>
    <w:rsid w:val="0015074B"/>
    <w:rsid w:val="00167BF4"/>
    <w:rsid w:val="001C2A9E"/>
    <w:rsid w:val="001E34D3"/>
    <w:rsid w:val="002813A4"/>
    <w:rsid w:val="0029639D"/>
    <w:rsid w:val="00326F90"/>
    <w:rsid w:val="003D3B09"/>
    <w:rsid w:val="004A0678"/>
    <w:rsid w:val="004D23F5"/>
    <w:rsid w:val="005005FB"/>
    <w:rsid w:val="005B2AFD"/>
    <w:rsid w:val="005E04F6"/>
    <w:rsid w:val="006000B3"/>
    <w:rsid w:val="00735F35"/>
    <w:rsid w:val="008A5CAF"/>
    <w:rsid w:val="00A270D3"/>
    <w:rsid w:val="00AA1D8D"/>
    <w:rsid w:val="00B17E49"/>
    <w:rsid w:val="00B47730"/>
    <w:rsid w:val="00B81BF5"/>
    <w:rsid w:val="00B8296A"/>
    <w:rsid w:val="00BB327A"/>
    <w:rsid w:val="00BD5D9E"/>
    <w:rsid w:val="00C63D91"/>
    <w:rsid w:val="00CB0664"/>
    <w:rsid w:val="00CB4F3F"/>
    <w:rsid w:val="00D0423F"/>
    <w:rsid w:val="00D364D5"/>
    <w:rsid w:val="00D468B1"/>
    <w:rsid w:val="00DB5964"/>
    <w:rsid w:val="00DC1E1A"/>
    <w:rsid w:val="00F3153C"/>
    <w:rsid w:val="00FC693F"/>
    <w:rsid w:val="00FD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FEDB4C"/>
  <w14:defaultImageDpi w14:val="330"/>
  <w15:docId w15:val="{39EE7972-B03E-4914-BF8F-E0DBD3AA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eastAsia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882</Words>
  <Characters>5634</Characters>
  <Application>Microsoft Office Word</Application>
  <DocSecurity>0</DocSecurity>
  <Lines>101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Lawrence Woods</cp:lastModifiedBy>
  <cp:revision>16</cp:revision>
  <dcterms:created xsi:type="dcterms:W3CDTF">2025-12-23T20:57:00Z</dcterms:created>
  <dcterms:modified xsi:type="dcterms:W3CDTF">2025-12-31T17:46:00Z</dcterms:modified>
  <cp:category/>
</cp:coreProperties>
</file>