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A18B" w14:textId="1C4D9F31" w:rsidR="002873FF" w:rsidRPr="002873FF" w:rsidRDefault="002873FF" w:rsidP="00A924DA">
      <w:pPr>
        <w:spacing w:line="168" w:lineRule="auto"/>
        <w:ind w:left="720"/>
        <w:jc w:val="center"/>
        <w:rPr>
          <w:rFonts w:ascii="Papyrus" w:hAnsi="Papyrus"/>
        </w:rPr>
      </w:pPr>
      <w:r w:rsidRPr="002873FF">
        <w:rPr>
          <w:rFonts w:ascii="Papyrus" w:hAnsi="Papyrus"/>
          <w:noProof/>
          <w:sz w:val="96"/>
          <w:szCs w:val="96"/>
        </w:rPr>
        <w:drawing>
          <wp:anchor distT="0" distB="0" distL="114300" distR="114300" simplePos="0" relativeHeight="251658240" behindDoc="0" locked="0" layoutInCell="1" allowOverlap="1" wp14:anchorId="03A12312" wp14:editId="0EED6E6F">
            <wp:simplePos x="0" y="0"/>
            <wp:positionH relativeFrom="margin">
              <wp:posOffset>666750</wp:posOffset>
            </wp:positionH>
            <wp:positionV relativeFrom="paragraph">
              <wp:posOffset>95250</wp:posOffset>
            </wp:positionV>
            <wp:extent cx="1135380" cy="1668813"/>
            <wp:effectExtent l="95250" t="95250" r="102870" b="102870"/>
            <wp:wrapSquare wrapText="bothSides"/>
            <wp:docPr id="9016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3301" name=""/>
                    <pic:cNvPicPr/>
                  </pic:nvPicPr>
                  <pic:blipFill rotWithShape="1">
                    <a:blip r:embed="rId5" cstate="print">
                      <a:extLst>
                        <a:ext uri="{28A0092B-C50C-407E-A947-70E740481C1C}">
                          <a14:useLocalDpi xmlns:a14="http://schemas.microsoft.com/office/drawing/2010/main" val="0"/>
                        </a:ext>
                      </a:extLst>
                    </a:blip>
                    <a:srcRect l="32692" t="15270" r="37564" b="7009"/>
                    <a:stretch>
                      <a:fillRect/>
                    </a:stretch>
                  </pic:blipFill>
                  <pic:spPr bwMode="auto">
                    <a:xfrm>
                      <a:off x="0" y="0"/>
                      <a:ext cx="1135380" cy="1668813"/>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anchor>
        </w:drawing>
      </w:r>
      <w:r w:rsidRPr="002873FF">
        <w:rPr>
          <w:rFonts w:ascii="Papyrus" w:hAnsi="Papyrus"/>
          <w:sz w:val="96"/>
          <w:szCs w:val="96"/>
        </w:rPr>
        <w:t>The seven lampstands (Menorah)</w:t>
      </w:r>
    </w:p>
    <w:p w14:paraId="0FAB9444" w14:textId="77777777" w:rsidR="002873FF" w:rsidRDefault="002873FF" w:rsidP="0053146D"/>
    <w:p w14:paraId="44D6F2FE" w14:textId="110C2D05" w:rsidR="00357BED" w:rsidRPr="00357BED" w:rsidRDefault="00357BED" w:rsidP="00357BED">
      <w:pPr>
        <w:ind w:left="360"/>
      </w:pPr>
      <w:r w:rsidRPr="00357BED">
        <w:t xml:space="preserve">According to the five books </w:t>
      </w:r>
      <w:r w:rsidR="00816ACB">
        <w:t>that</w:t>
      </w:r>
      <w:r w:rsidRPr="00357BED">
        <w:t xml:space="preserve"> Moses</w:t>
      </w:r>
      <w:r w:rsidR="00816ACB">
        <w:t xml:space="preserve"> wrote by </w:t>
      </w:r>
      <w:r w:rsidR="00816ACB">
        <w:rPr>
          <w:noProof/>
        </w:rPr>
        <w:drawing>
          <wp:inline distT="0" distB="0" distL="0" distR="0" wp14:anchorId="407BE677" wp14:editId="6C45495B">
            <wp:extent cx="231927" cy="138430"/>
            <wp:effectExtent l="0" t="0" r="0" b="0"/>
            <wp:docPr id="10755383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00816ACB">
        <w:t>’s word</w:t>
      </w:r>
      <w:r w:rsidRPr="00357BED">
        <w:t>, the lamps of the menorah were lit daily—specifically every evening—to burn through the night.</w:t>
      </w:r>
    </w:p>
    <w:p w14:paraId="0534CDD3" w14:textId="77777777" w:rsidR="00357BED" w:rsidRPr="00357BED" w:rsidRDefault="00357BED" w:rsidP="00357BED">
      <w:pPr>
        <w:ind w:left="360"/>
        <w:rPr>
          <w:b/>
          <w:bCs/>
        </w:rPr>
      </w:pPr>
      <w:r w:rsidRPr="00357BED">
        <w:rPr>
          <w:b/>
          <w:bCs/>
        </w:rPr>
        <w:t>The lighting process is described in the five books through the following instructions:</w:t>
      </w:r>
    </w:p>
    <w:p w14:paraId="55C8B912" w14:textId="3AB45091" w:rsidR="00357BED" w:rsidRPr="00357BED" w:rsidRDefault="00357BED" w:rsidP="003E31F0">
      <w:pPr>
        <w:pStyle w:val="ListParagraph"/>
        <w:numPr>
          <w:ilvl w:val="0"/>
          <w:numId w:val="9"/>
        </w:numPr>
      </w:pPr>
      <w:r w:rsidRPr="003E31F0">
        <w:rPr>
          <w:b/>
          <w:bCs/>
        </w:rPr>
        <w:t>When:</w:t>
      </w:r>
      <w:r w:rsidRPr="00357BED">
        <w:t xml:space="preserve"> Aaron and the priests were commanded to light the lamps from evening until morning (Exodus 27:21). This was to be done daily as a perpetual statute.</w:t>
      </w:r>
    </w:p>
    <w:p w14:paraId="1070C1D5" w14:textId="0B8BB265" w:rsidR="00357BED" w:rsidRPr="00357BED" w:rsidRDefault="00357BED" w:rsidP="003E31F0">
      <w:pPr>
        <w:pStyle w:val="ListParagraph"/>
        <w:numPr>
          <w:ilvl w:val="0"/>
          <w:numId w:val="9"/>
        </w:numPr>
      </w:pPr>
      <w:r w:rsidRPr="003E31F0">
        <w:rPr>
          <w:b/>
          <w:bCs/>
        </w:rPr>
        <w:t>The Process:</w:t>
      </w:r>
      <w:r w:rsidRPr="00357BED">
        <w:br/>
        <w:t xml:space="preserve">o </w:t>
      </w:r>
      <w:r w:rsidRPr="003E31F0">
        <w:rPr>
          <w:b/>
          <w:bCs/>
        </w:rPr>
        <w:t>Morning Duty:</w:t>
      </w:r>
      <w:r w:rsidRPr="00357BED">
        <w:t xml:space="preserve"> Each morning, the priest would clean the lamps, preparing them with fresh, pure olive oil (Exodus 30:7).</w:t>
      </w:r>
      <w:r w:rsidRPr="00357BED">
        <w:br/>
        <w:t xml:space="preserve">o </w:t>
      </w:r>
      <w:r w:rsidRPr="003E31F0">
        <w:rPr>
          <w:b/>
          <w:bCs/>
        </w:rPr>
        <w:t>Evening Lighting:</w:t>
      </w:r>
      <w:r w:rsidRPr="00357BED">
        <w:t xml:space="preserve"> Every evening near dusk, the priest would light the lamps (Exodus 30:8).</w:t>
      </w:r>
    </w:p>
    <w:p w14:paraId="50C8B722" w14:textId="172B1EE8" w:rsidR="00357BED" w:rsidRPr="00357BED" w:rsidRDefault="00357BED" w:rsidP="003E31F0">
      <w:pPr>
        <w:pStyle w:val="ListParagraph"/>
        <w:numPr>
          <w:ilvl w:val="0"/>
          <w:numId w:val="9"/>
        </w:numPr>
      </w:pPr>
      <w:r w:rsidRPr="003E31F0">
        <w:rPr>
          <w:b/>
          <w:bCs/>
        </w:rPr>
        <w:t>How They Were Lit:</w:t>
      </w:r>
      <w:r w:rsidRPr="00357BED">
        <w:t xml:space="preserve"> The text in Numbers 8:2 states, “When you set up the lamps, the seven lamps shall give light in front of the lampstand.” The five books do not explicitly state whether they were lit one by one or all at once; the requirement was that all seven be burning together during the nightly service.</w:t>
      </w:r>
    </w:p>
    <w:p w14:paraId="3F267A61" w14:textId="7060031E" w:rsidR="00357BED" w:rsidRPr="00357BED" w:rsidRDefault="00357BED" w:rsidP="003E31F0">
      <w:pPr>
        <w:pStyle w:val="ListParagraph"/>
        <w:numPr>
          <w:ilvl w:val="0"/>
          <w:numId w:val="9"/>
        </w:numPr>
      </w:pPr>
      <w:r w:rsidRPr="003E31F0">
        <w:rPr>
          <w:b/>
          <w:bCs/>
        </w:rPr>
        <w:t>Special Requirement:</w:t>
      </w:r>
      <w:r w:rsidRPr="00357BED">
        <w:t xml:space="preserve"> A key detail in Numbers 8 is that the lamps were set to face forward, toward the front of the lampstand, so their light would illuminate the Holy Place—specifically the Table of Showbread.</w:t>
      </w:r>
    </w:p>
    <w:p w14:paraId="4231ABB6" w14:textId="77777777" w:rsidR="00357BED" w:rsidRPr="00357BED" w:rsidRDefault="00357BED" w:rsidP="003E31F0">
      <w:pPr>
        <w:pStyle w:val="ListParagraph"/>
        <w:numPr>
          <w:ilvl w:val="0"/>
          <w:numId w:val="9"/>
        </w:numPr>
      </w:pPr>
      <w:r w:rsidRPr="00357BED">
        <w:t>Here is the breakdown:</w:t>
      </w:r>
    </w:p>
    <w:p w14:paraId="2715C93F" w14:textId="76A1EC1F" w:rsidR="00357BED" w:rsidRPr="00357BED" w:rsidRDefault="00357BED" w:rsidP="00257D21">
      <w:pPr>
        <w:pStyle w:val="ListParagraph"/>
        <w:numPr>
          <w:ilvl w:val="0"/>
          <w:numId w:val="9"/>
        </w:numPr>
      </w:pPr>
      <w:r w:rsidRPr="003E31F0">
        <w:rPr>
          <w:b/>
          <w:bCs/>
        </w:rPr>
        <w:t>The Lampstand (Menorah):</w:t>
      </w:r>
      <w:r w:rsidRPr="00357BED">
        <w:t xml:space="preserve"> This is the gold, tree-like structure with a base and six branches.</w:t>
      </w:r>
      <w:r w:rsidRPr="00357BED">
        <w:br/>
        <w:t xml:space="preserve">• </w:t>
      </w:r>
      <w:r w:rsidRPr="003E31F0">
        <w:rPr>
          <w:b/>
          <w:bCs/>
        </w:rPr>
        <w:t>The Seven Lamps:</w:t>
      </w:r>
      <w:r w:rsidRPr="00357BED">
        <w:t xml:space="preserve"> These were individual oil-burning vessels placed on top of the branches. Shaped like bowls, they held the oil inside. They were not permanently fixed; the priests would remove them to trim the wicks and refill the oil.</w:t>
      </w:r>
    </w:p>
    <w:p w14:paraId="09D63BA6" w14:textId="77777777" w:rsidR="00357BED" w:rsidRPr="00357BED" w:rsidRDefault="00357BED" w:rsidP="00357BED">
      <w:pPr>
        <w:ind w:left="360"/>
        <w:rPr>
          <w:b/>
          <w:bCs/>
        </w:rPr>
      </w:pPr>
      <w:r w:rsidRPr="00357BED">
        <w:rPr>
          <w:b/>
          <w:bCs/>
        </w:rPr>
        <w:lastRenderedPageBreak/>
        <w:t>Do Not Adopt Other Rituals</w:t>
      </w:r>
    </w:p>
    <w:p w14:paraId="7ABB06E6" w14:textId="77777777" w:rsidR="00357BED" w:rsidRPr="00357BED" w:rsidRDefault="00357BED" w:rsidP="00357BED">
      <w:pPr>
        <w:ind w:left="360"/>
      </w:pPr>
      <w:r w:rsidRPr="00357BED">
        <w:t>We are to adhere strictly to the foundational law. Deuteronomy 4:2 and chapter 13 explain that we are not to alter the law or change its established practices.</w:t>
      </w:r>
    </w:p>
    <w:p w14:paraId="74049D36" w14:textId="77777777" w:rsidR="00357BED" w:rsidRPr="00357BED" w:rsidRDefault="00357BED" w:rsidP="00357BED">
      <w:pPr>
        <w:ind w:left="360"/>
      </w:pPr>
      <w:r w:rsidRPr="00357BED">
        <w:t>Here are three specific ways the “seven-branched lampstand” differs from later traditions not found in the five books:</w:t>
      </w:r>
    </w:p>
    <w:p w14:paraId="701023F7" w14:textId="77777777" w:rsidR="00357BED" w:rsidRPr="00357BED" w:rsidRDefault="00357BED" w:rsidP="00357BED">
      <w:pPr>
        <w:numPr>
          <w:ilvl w:val="0"/>
          <w:numId w:val="6"/>
        </w:numPr>
      </w:pPr>
      <w:r w:rsidRPr="00357BED">
        <w:rPr>
          <w:b/>
          <w:bCs/>
        </w:rPr>
        <w:t>The Location:</w:t>
      </w:r>
      <w:r w:rsidRPr="00357BED">
        <w:t xml:space="preserve"> In the five books, the lampstand exists only inside the Tabernacle (Exodus 26:35). There are no instructions for a lampstand in private homes or for seasonal festivals. Later writings introduced changes. </w:t>
      </w:r>
    </w:p>
    <w:p w14:paraId="3640A49B" w14:textId="77777777" w:rsidR="00357BED" w:rsidRPr="00357BED" w:rsidRDefault="00357BED" w:rsidP="00357BED">
      <w:pPr>
        <w:numPr>
          <w:ilvl w:val="0"/>
          <w:numId w:val="6"/>
        </w:numPr>
      </w:pPr>
      <w:r w:rsidRPr="00357BED">
        <w:rPr>
          <w:b/>
          <w:bCs/>
        </w:rPr>
        <w:t>The Number:</w:t>
      </w:r>
      <w:r w:rsidRPr="00357BED">
        <w:t xml:space="preserve"> The design in the five books specifies seven lamps (Exodus 25:37). The nine-branched version used for Hanukkah is a later development not found in the writings of Moses. </w:t>
      </w:r>
    </w:p>
    <w:p w14:paraId="68F79B1C" w14:textId="77777777" w:rsidR="00357BED" w:rsidRPr="00357BED" w:rsidRDefault="00357BED" w:rsidP="00357BED">
      <w:pPr>
        <w:numPr>
          <w:ilvl w:val="0"/>
          <w:numId w:val="6"/>
        </w:numPr>
      </w:pPr>
      <w:r w:rsidRPr="00357BED">
        <w:rPr>
          <w:b/>
          <w:bCs/>
        </w:rPr>
        <w:t>The Purpose:</w:t>
      </w:r>
      <w:r w:rsidRPr="00357BED">
        <w:t xml:space="preserve"> In the five books, the purpose is the regular, perpetual service (Leviticus 24:3). It is not described as commemorating a historical victory or a miracle of oil, but as maintaining continual light in the sanctuary. </w:t>
      </w:r>
    </w:p>
    <w:p w14:paraId="7E0661FA" w14:textId="77777777" w:rsidR="00357BED" w:rsidRPr="00357BED" w:rsidRDefault="00357BED" w:rsidP="00357BED">
      <w:pPr>
        <w:ind w:left="360"/>
      </w:pPr>
      <w:r w:rsidRPr="00357BED">
        <w:t>In the five books, the ritual is focused on the priests (Aaron and his sons) maintaining the light in the Holy Place so that the sanctuary is never in darkness. It is a functional, sacred duty tied to the operation of the Tabernacle, not a commemorative practice.</w:t>
      </w:r>
    </w:p>
    <w:p w14:paraId="55E9A7BC" w14:textId="77777777" w:rsidR="00357BED" w:rsidRPr="00357BED" w:rsidRDefault="00357BED" w:rsidP="00357BED">
      <w:pPr>
        <w:ind w:left="360"/>
      </w:pPr>
      <w:r w:rsidRPr="00357BED">
        <w:pict w14:anchorId="3771C70E">
          <v:rect id="_x0000_i1071" style="width:0;height:1.5pt" o:hralign="center" o:hrstd="t" o:hr="t" fillcolor="#a0a0a0" stroked="f"/>
        </w:pict>
      </w:r>
    </w:p>
    <w:p w14:paraId="7FD4B122" w14:textId="77777777" w:rsidR="00357BED" w:rsidRPr="00357BED" w:rsidRDefault="00357BED" w:rsidP="00357BED">
      <w:pPr>
        <w:ind w:left="360"/>
      </w:pPr>
      <w:r w:rsidRPr="00357BED">
        <w:t>In Leviticus 10:1–3, we are given a severe warning about what happens when anyone—even high-ranking priests—deviates from the specific instructions given to Moses.</w:t>
      </w:r>
    </w:p>
    <w:p w14:paraId="1D9C5D64" w14:textId="77777777" w:rsidR="00357BED" w:rsidRPr="00357BED" w:rsidRDefault="00357BED" w:rsidP="00357BED">
      <w:pPr>
        <w:ind w:left="360"/>
      </w:pPr>
      <w:r w:rsidRPr="00357BED">
        <w:t>This event involves Nadab and Abihu, the two eldest sons of Aaron, and serves as a foundational example of how rituals must be performed:</w:t>
      </w:r>
    </w:p>
    <w:p w14:paraId="12B77882" w14:textId="77777777" w:rsidR="00357BED" w:rsidRPr="00357BED" w:rsidRDefault="00357BED" w:rsidP="00357BED">
      <w:pPr>
        <w:numPr>
          <w:ilvl w:val="0"/>
          <w:numId w:val="7"/>
        </w:numPr>
      </w:pPr>
      <w:r w:rsidRPr="00357BED">
        <w:rPr>
          <w:b/>
          <w:bCs/>
        </w:rPr>
        <w:t>The Act of “Strange Fire”</w:t>
      </w:r>
      <w:r w:rsidRPr="00357BED">
        <w:br/>
        <w:t xml:space="preserve">The text says they took their censers, put fire in them, and added incense. However, they offered “strange fire” (Hebrew: </w:t>
      </w:r>
      <w:proofErr w:type="spellStart"/>
      <w:r w:rsidRPr="00357BED">
        <w:rPr>
          <w:i/>
          <w:iCs/>
        </w:rPr>
        <w:t>esh</w:t>
      </w:r>
      <w:proofErr w:type="spellEnd"/>
      <w:r w:rsidRPr="00357BED">
        <w:rPr>
          <w:i/>
          <w:iCs/>
        </w:rPr>
        <w:t xml:space="preserve"> </w:t>
      </w:r>
      <w:proofErr w:type="spellStart"/>
      <w:r w:rsidRPr="00357BED">
        <w:rPr>
          <w:i/>
          <w:iCs/>
        </w:rPr>
        <w:t>zarah</w:t>
      </w:r>
      <w:proofErr w:type="spellEnd"/>
      <w:r w:rsidRPr="00357BED">
        <w:t xml:space="preserve">) before the LORD—something He had not commanded. </w:t>
      </w:r>
    </w:p>
    <w:p w14:paraId="2396C907" w14:textId="77777777" w:rsidR="00357BED" w:rsidRPr="00357BED" w:rsidRDefault="00357BED" w:rsidP="00357BED">
      <w:pPr>
        <w:numPr>
          <w:ilvl w:val="0"/>
          <w:numId w:val="7"/>
        </w:numPr>
      </w:pPr>
      <w:r w:rsidRPr="00357BED">
        <w:rPr>
          <w:b/>
          <w:bCs/>
        </w:rPr>
        <w:t>The Violation of Deuteronomy 4:2</w:t>
      </w:r>
      <w:r w:rsidRPr="00357BED">
        <w:br/>
        <w:t xml:space="preserve">The issue was not that the fire or incense was inherently evil, but that it was added to the ritual. Changing what was commanded was not permitted. </w:t>
      </w:r>
    </w:p>
    <w:p w14:paraId="7E28BCED" w14:textId="77777777" w:rsidR="008052BB" w:rsidRDefault="008052BB" w:rsidP="00357BED">
      <w:pPr>
        <w:ind w:left="360"/>
      </w:pPr>
    </w:p>
    <w:p w14:paraId="14C1842B" w14:textId="77777777" w:rsidR="008052BB" w:rsidRDefault="008052BB" w:rsidP="00357BED">
      <w:pPr>
        <w:ind w:left="360"/>
      </w:pPr>
    </w:p>
    <w:p w14:paraId="6AAAD50D" w14:textId="7BE4D4B8" w:rsidR="00357BED" w:rsidRPr="00357BED" w:rsidRDefault="00357BED" w:rsidP="008052BB">
      <w:pPr>
        <w:pStyle w:val="ListParagraph"/>
        <w:ind w:left="1080"/>
      </w:pPr>
      <w:r w:rsidRPr="00357BED">
        <w:lastRenderedPageBreak/>
        <w:t>According to the five books:</w:t>
      </w:r>
      <w:r w:rsidRPr="00357BED">
        <w:br/>
        <w:t>• They used a source of fire or timing not part of the pattern shown to Moses on the mountain.</w:t>
      </w:r>
      <w:r w:rsidRPr="00357BED">
        <w:br/>
        <w:t>• By introducing something new into the sanctuary, they violated the principle of not adding to the law.</w:t>
      </w:r>
    </w:p>
    <w:p w14:paraId="36BC46D0" w14:textId="44D8B563" w:rsidR="00357BED" w:rsidRPr="00357BED" w:rsidRDefault="00357BED" w:rsidP="00357BED">
      <w:pPr>
        <w:numPr>
          <w:ilvl w:val="0"/>
          <w:numId w:val="8"/>
        </w:numPr>
      </w:pPr>
      <w:r w:rsidRPr="00357BED">
        <w:rPr>
          <w:b/>
          <w:bCs/>
        </w:rPr>
        <w:t>The Immediate Consequence</w:t>
      </w:r>
      <w:r w:rsidRPr="00357BED">
        <w:br/>
        <w:t xml:space="preserve">Fire came out from the presence of </w:t>
      </w:r>
      <w:r w:rsidR="003F321F">
        <w:rPr>
          <w:noProof/>
        </w:rPr>
        <w:drawing>
          <wp:inline distT="0" distB="0" distL="0" distR="0" wp14:anchorId="2F39A1EF" wp14:editId="51060B7D">
            <wp:extent cx="231927" cy="138430"/>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003F321F">
        <w:t xml:space="preserve"> </w:t>
      </w:r>
      <w:r w:rsidRPr="00357BED">
        <w:t xml:space="preserve">and consumed them, and they died. Moses explained this with a principle from </w:t>
      </w:r>
      <w:r w:rsidR="0070541C">
        <w:rPr>
          <w:noProof/>
        </w:rPr>
        <w:drawing>
          <wp:inline distT="0" distB="0" distL="0" distR="0" wp14:anchorId="48B370A7" wp14:editId="26F5A0C5">
            <wp:extent cx="231927" cy="138430"/>
            <wp:effectExtent l="0" t="0" r="0" b="0"/>
            <wp:docPr id="1195601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Pr="00357BED">
        <w:t>:</w:t>
      </w:r>
      <w:r w:rsidRPr="00357BED">
        <w:br/>
        <w:t xml:space="preserve">“By those who come near Me I will be treated as holy; and before all the people I will be honored.” (Leviticus 10:3) </w:t>
      </w:r>
    </w:p>
    <w:p w14:paraId="6FF57366" w14:textId="77777777" w:rsidR="00357BED" w:rsidRPr="00357BED" w:rsidRDefault="00357BED" w:rsidP="00357BED">
      <w:pPr>
        <w:numPr>
          <w:ilvl w:val="0"/>
          <w:numId w:val="8"/>
        </w:numPr>
      </w:pPr>
      <w:r w:rsidRPr="00357BED">
        <w:rPr>
          <w:b/>
          <w:bCs/>
        </w:rPr>
        <w:t>The “No Mourning” Command (Leviticus 10:6)</w:t>
      </w:r>
      <w:r w:rsidRPr="00357BED">
        <w:br/>
        <w:t xml:space="preserve">Moses instructed Aaron and his remaining sons not to mourn or tear their clothes. Because Nadab and Abihu violated the established order, the remaining priests had to continue their duties without interruption or personal expression overriding the law. </w:t>
      </w:r>
    </w:p>
    <w:p w14:paraId="36590817" w14:textId="77777777" w:rsidR="00357BED" w:rsidRPr="00357BED" w:rsidRDefault="00357BED" w:rsidP="00357BED">
      <w:pPr>
        <w:ind w:left="360"/>
      </w:pPr>
      <w:r w:rsidRPr="00357BED">
        <w:pict w14:anchorId="22EE27F9">
          <v:rect id="_x0000_i1072" style="width:0;height:1.5pt" o:hralign="center" o:hrstd="t" o:hr="t" fillcolor="#a0a0a0" stroked="f"/>
        </w:pict>
      </w:r>
    </w:p>
    <w:p w14:paraId="109833E6" w14:textId="5DB70A8E" w:rsidR="00357BED" w:rsidRPr="00357BED" w:rsidRDefault="00357BED" w:rsidP="00357BED">
      <w:pPr>
        <w:ind w:left="360"/>
        <w:rPr>
          <w:b/>
          <w:bCs/>
        </w:rPr>
      </w:pPr>
      <w:r w:rsidRPr="00357BED">
        <w:rPr>
          <w:b/>
          <w:bCs/>
        </w:rPr>
        <w:t>Why This Matters for the Lampstand</w:t>
      </w:r>
    </w:p>
    <w:p w14:paraId="3A0BB45B" w14:textId="77777777" w:rsidR="00357BED" w:rsidRPr="00357BED" w:rsidRDefault="00357BED" w:rsidP="00357BED">
      <w:pPr>
        <w:ind w:left="360"/>
      </w:pPr>
      <w:r w:rsidRPr="00357BED">
        <w:t>In the context of the seven-branched lampstand, this chapter reinforces that the ritual is not a suggestion. If the Torah specifies:</w:t>
      </w:r>
    </w:p>
    <w:p w14:paraId="6E12CA91" w14:textId="77777777" w:rsidR="00357BED" w:rsidRPr="00357BED" w:rsidRDefault="00357BED" w:rsidP="00357BED">
      <w:pPr>
        <w:ind w:left="360"/>
      </w:pPr>
      <w:r w:rsidRPr="00357BED">
        <w:t>• Seven lamps (not eight or nine),</w:t>
      </w:r>
      <w:r w:rsidRPr="00357BED">
        <w:br/>
        <w:t>• Pure olive oil (not another fuel),</w:t>
      </w:r>
      <w:r w:rsidRPr="00357BED">
        <w:br/>
        <w:t>• Lit by Aaron and the priests (not by common people),</w:t>
      </w:r>
      <w:r w:rsidRPr="00357BED">
        <w:br/>
        <w:t>• Inside the Tabernacle (not in private homes),</w:t>
      </w:r>
    </w:p>
    <w:p w14:paraId="61F20FC4" w14:textId="77777777" w:rsidR="00357BED" w:rsidRPr="00357BED" w:rsidRDefault="00357BED" w:rsidP="00357BED">
      <w:pPr>
        <w:ind w:left="360"/>
      </w:pPr>
      <w:r w:rsidRPr="00357BED">
        <w:t>…then altering these details would be considered introducing “strange fire.”</w:t>
      </w:r>
    </w:p>
    <w:p w14:paraId="1E53AC0B" w14:textId="77777777" w:rsidR="00357BED" w:rsidRPr="00357BED" w:rsidRDefault="00357BED" w:rsidP="00357BED">
      <w:pPr>
        <w:ind w:left="360"/>
      </w:pPr>
      <w:r w:rsidRPr="00357BED">
        <w:pict w14:anchorId="258044AA">
          <v:rect id="_x0000_i1073" style="width:0;height:1.5pt" o:hralign="center" o:hrstd="t" o:hr="t" fillcolor="#a0a0a0" stroked="f"/>
        </w:pict>
      </w:r>
    </w:p>
    <w:p w14:paraId="0AFBF3AC" w14:textId="77777777" w:rsidR="00357BED" w:rsidRPr="00357BED" w:rsidRDefault="00357BED" w:rsidP="00357BED">
      <w:pPr>
        <w:ind w:left="360"/>
      </w:pPr>
      <w:r w:rsidRPr="00357BED">
        <w:t>Some believers interpret Exodus 25 symbolically, associating the menorah with divine presence and wisdom.</w:t>
      </w:r>
    </w:p>
    <w:p w14:paraId="7EBFC082" w14:textId="77777777" w:rsidR="00357BED" w:rsidRPr="00357BED" w:rsidRDefault="00357BED" w:rsidP="00357BED">
      <w:pPr>
        <w:ind w:left="360"/>
      </w:pPr>
      <w:r w:rsidRPr="00357BED">
        <w:t xml:space="preserve">• </w:t>
      </w:r>
      <w:r w:rsidRPr="00357BED">
        <w:rPr>
          <w:b/>
          <w:bCs/>
        </w:rPr>
        <w:t>Seven branches (Temple menorah):</w:t>
      </w:r>
      <w:r w:rsidRPr="00357BED">
        <w:t xml:space="preserve"> Often understood as representing the seven days of Creation and, in some traditions, the “seven churches” in Revelation. It is seen as a symbol of divine light.</w:t>
      </w:r>
      <w:r w:rsidRPr="00357BED">
        <w:br/>
        <w:t xml:space="preserve">• </w:t>
      </w:r>
      <w:r w:rsidRPr="00357BED">
        <w:rPr>
          <w:b/>
          <w:bCs/>
        </w:rPr>
        <w:t>Nine branches (Hanukkiah):</w:t>
      </w:r>
      <w:r w:rsidRPr="00357BED">
        <w:t xml:space="preserve"> Used during Hanukkah to commemorate the eight-day oil miracle, with one additional “helper” candle used for lighting the others.</w:t>
      </w:r>
    </w:p>
    <w:p w14:paraId="149349F3" w14:textId="48C95454" w:rsidR="001E590B" w:rsidRDefault="00357BED" w:rsidP="00357BED">
      <w:pPr>
        <w:ind w:left="360"/>
      </w:pPr>
      <w:r w:rsidRPr="00357BED">
        <w:lastRenderedPageBreak/>
        <w:t>From the perspective presented here, this later form is viewed as a departure from the original instructions given to Moses, which emphasize not altering the established ritual.</w:t>
      </w:r>
      <w:r w:rsidR="00251198">
        <w:t xml:space="preserve"> At last, this is one of the many </w:t>
      </w:r>
      <w:r w:rsidR="00A412BB">
        <w:t>reasons</w:t>
      </w:r>
      <w:r w:rsidR="00251198">
        <w:t xml:space="preserve"> why I only believe in the 5 books that Moses wrote, not the Bible or TANAKH</w:t>
      </w:r>
      <w:r w:rsidR="00A412BB">
        <w:t xml:space="preserve">. Since it conflicts and is against </w:t>
      </w:r>
      <w:r w:rsidR="00A412BB">
        <w:rPr>
          <w:noProof/>
        </w:rPr>
        <w:drawing>
          <wp:inline distT="0" distB="0" distL="0" distR="0" wp14:anchorId="78EEB34D" wp14:editId="786197D7">
            <wp:extent cx="231927" cy="138430"/>
            <wp:effectExtent l="0" t="0" r="0" b="0"/>
            <wp:docPr id="13102086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31927" cy="138430"/>
                    </a:xfrm>
                    <a:prstGeom prst="rect">
                      <a:avLst/>
                    </a:prstGeom>
                    <a:ln/>
                  </pic:spPr>
                </pic:pic>
              </a:graphicData>
            </a:graphic>
          </wp:inline>
        </w:drawing>
      </w:r>
      <w:r w:rsidR="00A412BB">
        <w:t xml:space="preserve">’s </w:t>
      </w:r>
      <w:r w:rsidR="003A06BB">
        <w:t>foundation</w:t>
      </w:r>
      <w:r w:rsidR="00A412BB">
        <w:t xml:space="preserve"> law.</w:t>
      </w:r>
    </w:p>
    <w:sectPr w:rsidR="001E5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49F"/>
    <w:multiLevelType w:val="multilevel"/>
    <w:tmpl w:val="56F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2A8F"/>
    <w:multiLevelType w:val="hybridMultilevel"/>
    <w:tmpl w:val="B2D2D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F155BB"/>
    <w:multiLevelType w:val="multilevel"/>
    <w:tmpl w:val="6DEEC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41441"/>
    <w:multiLevelType w:val="hybridMultilevel"/>
    <w:tmpl w:val="85268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AF24FD"/>
    <w:multiLevelType w:val="multilevel"/>
    <w:tmpl w:val="6ABC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C48C0"/>
    <w:multiLevelType w:val="multilevel"/>
    <w:tmpl w:val="5A4E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227F06"/>
    <w:multiLevelType w:val="multilevel"/>
    <w:tmpl w:val="AA76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25330"/>
    <w:multiLevelType w:val="multilevel"/>
    <w:tmpl w:val="2F5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41F15"/>
    <w:multiLevelType w:val="hybridMultilevel"/>
    <w:tmpl w:val="91D03A6C"/>
    <w:lvl w:ilvl="0" w:tplc="B680E6F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E48B3"/>
    <w:multiLevelType w:val="multilevel"/>
    <w:tmpl w:val="8434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13256B"/>
    <w:multiLevelType w:val="multilevel"/>
    <w:tmpl w:val="6F5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556774">
    <w:abstractNumId w:val="6"/>
  </w:num>
  <w:num w:numId="2" w16cid:durableId="2123647690">
    <w:abstractNumId w:val="10"/>
  </w:num>
  <w:num w:numId="3" w16cid:durableId="150223194">
    <w:abstractNumId w:val="7"/>
  </w:num>
  <w:num w:numId="4" w16cid:durableId="1674448856">
    <w:abstractNumId w:val="0"/>
  </w:num>
  <w:num w:numId="5" w16cid:durableId="1789351759">
    <w:abstractNumId w:val="4"/>
  </w:num>
  <w:num w:numId="6" w16cid:durableId="1201942415">
    <w:abstractNumId w:val="9"/>
  </w:num>
  <w:num w:numId="7" w16cid:durableId="1221526287">
    <w:abstractNumId w:val="5"/>
  </w:num>
  <w:num w:numId="8" w16cid:durableId="148908425">
    <w:abstractNumId w:val="2"/>
  </w:num>
  <w:num w:numId="9" w16cid:durableId="1920408470">
    <w:abstractNumId w:val="1"/>
  </w:num>
  <w:num w:numId="10" w16cid:durableId="1120101114">
    <w:abstractNumId w:val="8"/>
  </w:num>
  <w:num w:numId="11" w16cid:durableId="43478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6D"/>
    <w:rsid w:val="0007034E"/>
    <w:rsid w:val="000E6BE5"/>
    <w:rsid w:val="00131C0D"/>
    <w:rsid w:val="0014413D"/>
    <w:rsid w:val="00161AAD"/>
    <w:rsid w:val="001635E7"/>
    <w:rsid w:val="00167FF8"/>
    <w:rsid w:val="001913A9"/>
    <w:rsid w:val="00197844"/>
    <w:rsid w:val="001A7D4F"/>
    <w:rsid w:val="001E590B"/>
    <w:rsid w:val="001F7331"/>
    <w:rsid w:val="002074AD"/>
    <w:rsid w:val="00250840"/>
    <w:rsid w:val="00251198"/>
    <w:rsid w:val="00257D21"/>
    <w:rsid w:val="00275C84"/>
    <w:rsid w:val="00284E8A"/>
    <w:rsid w:val="002873FF"/>
    <w:rsid w:val="002C45EB"/>
    <w:rsid w:val="003042D9"/>
    <w:rsid w:val="00306F65"/>
    <w:rsid w:val="00317974"/>
    <w:rsid w:val="00320606"/>
    <w:rsid w:val="003469EC"/>
    <w:rsid w:val="00357BED"/>
    <w:rsid w:val="003907B1"/>
    <w:rsid w:val="003A06BB"/>
    <w:rsid w:val="003E31F0"/>
    <w:rsid w:val="003F321F"/>
    <w:rsid w:val="004068DE"/>
    <w:rsid w:val="005009DE"/>
    <w:rsid w:val="0053146D"/>
    <w:rsid w:val="0057245E"/>
    <w:rsid w:val="005908A7"/>
    <w:rsid w:val="005B5D01"/>
    <w:rsid w:val="005D671E"/>
    <w:rsid w:val="005E4D68"/>
    <w:rsid w:val="006823E8"/>
    <w:rsid w:val="00683028"/>
    <w:rsid w:val="0069670A"/>
    <w:rsid w:val="0070541C"/>
    <w:rsid w:val="007459F1"/>
    <w:rsid w:val="007B61F7"/>
    <w:rsid w:val="008052BB"/>
    <w:rsid w:val="00815ABD"/>
    <w:rsid w:val="00816ACB"/>
    <w:rsid w:val="00831A14"/>
    <w:rsid w:val="008540EC"/>
    <w:rsid w:val="0086467E"/>
    <w:rsid w:val="008A1127"/>
    <w:rsid w:val="008A4BBA"/>
    <w:rsid w:val="008B60AD"/>
    <w:rsid w:val="008C092B"/>
    <w:rsid w:val="008C140A"/>
    <w:rsid w:val="008D6EC2"/>
    <w:rsid w:val="008E2AB4"/>
    <w:rsid w:val="008E7C24"/>
    <w:rsid w:val="00951199"/>
    <w:rsid w:val="0098391B"/>
    <w:rsid w:val="00997CEB"/>
    <w:rsid w:val="009E1645"/>
    <w:rsid w:val="009F097E"/>
    <w:rsid w:val="00A412BB"/>
    <w:rsid w:val="00A924DA"/>
    <w:rsid w:val="00A953A3"/>
    <w:rsid w:val="00AD2C34"/>
    <w:rsid w:val="00B20772"/>
    <w:rsid w:val="00BC3717"/>
    <w:rsid w:val="00CD4137"/>
    <w:rsid w:val="00D606AC"/>
    <w:rsid w:val="00E06E07"/>
    <w:rsid w:val="00E26082"/>
    <w:rsid w:val="00F15B3B"/>
    <w:rsid w:val="00F65418"/>
    <w:rsid w:val="00F83698"/>
    <w:rsid w:val="00FB31F9"/>
    <w:rsid w:val="00FB34C7"/>
    <w:rsid w:val="00FE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5EA7"/>
  <w15:chartTrackingRefBased/>
  <w15:docId w15:val="{EC0AF321-52B8-4A1B-ACD3-6D1466C8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46D"/>
    <w:rPr>
      <w:rFonts w:eastAsiaTheme="majorEastAsia" w:cstheme="majorBidi"/>
      <w:color w:val="272727" w:themeColor="text1" w:themeTint="D8"/>
    </w:rPr>
  </w:style>
  <w:style w:type="paragraph" w:styleId="Title">
    <w:name w:val="Title"/>
    <w:basedOn w:val="Normal"/>
    <w:next w:val="Normal"/>
    <w:link w:val="TitleChar"/>
    <w:uiPriority w:val="10"/>
    <w:qFormat/>
    <w:rsid w:val="00531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46D"/>
    <w:pPr>
      <w:spacing w:before="160"/>
      <w:jc w:val="center"/>
    </w:pPr>
    <w:rPr>
      <w:i/>
      <w:iCs/>
      <w:color w:val="404040" w:themeColor="text1" w:themeTint="BF"/>
    </w:rPr>
  </w:style>
  <w:style w:type="character" w:customStyle="1" w:styleId="QuoteChar">
    <w:name w:val="Quote Char"/>
    <w:basedOn w:val="DefaultParagraphFont"/>
    <w:link w:val="Quote"/>
    <w:uiPriority w:val="29"/>
    <w:rsid w:val="0053146D"/>
    <w:rPr>
      <w:i/>
      <w:iCs/>
      <w:color w:val="404040" w:themeColor="text1" w:themeTint="BF"/>
    </w:rPr>
  </w:style>
  <w:style w:type="paragraph" w:styleId="ListParagraph">
    <w:name w:val="List Paragraph"/>
    <w:basedOn w:val="Normal"/>
    <w:uiPriority w:val="34"/>
    <w:qFormat/>
    <w:rsid w:val="0053146D"/>
    <w:pPr>
      <w:ind w:left="720"/>
      <w:contextualSpacing/>
    </w:pPr>
  </w:style>
  <w:style w:type="character" w:styleId="IntenseEmphasis">
    <w:name w:val="Intense Emphasis"/>
    <w:basedOn w:val="DefaultParagraphFont"/>
    <w:uiPriority w:val="21"/>
    <w:qFormat/>
    <w:rsid w:val="0053146D"/>
    <w:rPr>
      <w:i/>
      <w:iCs/>
      <w:color w:val="0F4761" w:themeColor="accent1" w:themeShade="BF"/>
    </w:rPr>
  </w:style>
  <w:style w:type="paragraph" w:styleId="IntenseQuote">
    <w:name w:val="Intense Quote"/>
    <w:basedOn w:val="Normal"/>
    <w:next w:val="Normal"/>
    <w:link w:val="IntenseQuoteChar"/>
    <w:uiPriority w:val="30"/>
    <w:qFormat/>
    <w:rsid w:val="00531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46D"/>
    <w:rPr>
      <w:i/>
      <w:iCs/>
      <w:color w:val="0F4761" w:themeColor="accent1" w:themeShade="BF"/>
    </w:rPr>
  </w:style>
  <w:style w:type="character" w:styleId="IntenseReference">
    <w:name w:val="Intense Reference"/>
    <w:basedOn w:val="DefaultParagraphFont"/>
    <w:uiPriority w:val="32"/>
    <w:qFormat/>
    <w:rsid w:val="00531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Pouliot</dc:creator>
  <cp:keywords/>
  <dc:description/>
  <cp:lastModifiedBy>Philip Pouliot</cp:lastModifiedBy>
  <cp:revision>73</cp:revision>
  <dcterms:created xsi:type="dcterms:W3CDTF">2026-04-09T18:04:00Z</dcterms:created>
  <dcterms:modified xsi:type="dcterms:W3CDTF">2026-04-09T21:32:00Z</dcterms:modified>
</cp:coreProperties>
</file>