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E1E0" w14:textId="22AD5F47" w:rsidR="000920FB" w:rsidRDefault="006E39E9" w:rsidP="006E39E9">
      <w:pPr>
        <w:spacing w:line="256" w:lineRule="auto"/>
        <w:jc w:val="center"/>
        <w:rPr>
          <w:rFonts w:ascii="Century Gothic" w:hAnsi="Century Gothic" w:cs="Calibri"/>
        </w:rPr>
      </w:pPr>
      <w:r>
        <w:rPr>
          <w:rFonts w:ascii="Century Gothic" w:hAnsi="Century Gothic" w:cs="Calibri"/>
          <w:noProof/>
        </w:rPr>
        <w:drawing>
          <wp:inline distT="0" distB="0" distL="0" distR="0" wp14:anchorId="702CF4CA" wp14:editId="2834C4D2">
            <wp:extent cx="3907367" cy="2115817"/>
            <wp:effectExtent l="0" t="0" r="0" b="0"/>
            <wp:docPr id="240187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87670" name="Picture 240187670"/>
                    <pic:cNvPicPr/>
                  </pic:nvPicPr>
                  <pic:blipFill rotWithShape="1">
                    <a:blip r:embed="rId5" cstate="print">
                      <a:extLst>
                        <a:ext uri="{28A0092B-C50C-407E-A947-70E740481C1C}">
                          <a14:useLocalDpi xmlns:a14="http://schemas.microsoft.com/office/drawing/2010/main" val="0"/>
                        </a:ext>
                      </a:extLst>
                    </a:blip>
                    <a:srcRect t="14740" b="15187"/>
                    <a:stretch>
                      <a:fillRect/>
                    </a:stretch>
                  </pic:blipFill>
                  <pic:spPr bwMode="auto">
                    <a:xfrm>
                      <a:off x="0" y="0"/>
                      <a:ext cx="3938898" cy="2132891"/>
                    </a:xfrm>
                    <a:prstGeom prst="rect">
                      <a:avLst/>
                    </a:prstGeom>
                    <a:ln>
                      <a:noFill/>
                    </a:ln>
                    <a:extLst>
                      <a:ext uri="{53640926-AAD7-44D8-BBD7-CCE9431645EC}">
                        <a14:shadowObscured xmlns:a14="http://schemas.microsoft.com/office/drawing/2010/main"/>
                      </a:ext>
                    </a:extLst>
                  </pic:spPr>
                </pic:pic>
              </a:graphicData>
            </a:graphic>
          </wp:inline>
        </w:drawing>
      </w:r>
    </w:p>
    <w:p w14:paraId="545734D8" w14:textId="77777777" w:rsidR="003E6407" w:rsidRDefault="003E6407" w:rsidP="007E49A2">
      <w:pPr>
        <w:spacing w:line="256" w:lineRule="auto"/>
        <w:rPr>
          <w:rFonts w:ascii="Century Gothic" w:hAnsi="Century Gothic" w:cs="Calibri"/>
        </w:rPr>
      </w:pPr>
    </w:p>
    <w:p w14:paraId="36349C07" w14:textId="77777777" w:rsidR="00DA6105" w:rsidRPr="00DA6105" w:rsidRDefault="00DA6105" w:rsidP="00DA6105">
      <w:pPr>
        <w:spacing w:line="256" w:lineRule="auto"/>
        <w:rPr>
          <w:rFonts w:ascii="Century Gothic" w:hAnsi="Century Gothic"/>
        </w:rPr>
      </w:pPr>
      <w:r w:rsidRPr="00DA6105">
        <w:rPr>
          <w:rFonts w:ascii="Century Gothic" w:hAnsi="Century Gothic"/>
        </w:rPr>
        <w:t>According to </w:t>
      </w:r>
      <w:r w:rsidRPr="00DA6105">
        <w:rPr>
          <w:rFonts w:ascii="Century Gothic" w:hAnsi="Century Gothic"/>
          <w:i/>
          <w:iCs/>
        </w:rPr>
        <w:t>Exodus 23:14–17</w:t>
      </w:r>
      <w:r w:rsidRPr="00DA6105">
        <w:rPr>
          <w:rFonts w:ascii="Century Gothic" w:hAnsi="Century Gothic"/>
        </w:rPr>
        <w:t>:</w:t>
      </w:r>
      <w:r w:rsidRPr="00DA6105">
        <w:rPr>
          <w:rFonts w:ascii="Century Gothic" w:hAnsi="Century Gothic"/>
        </w:rPr>
        <w:br/>
        <w:t>There are </w:t>
      </w:r>
      <w:r w:rsidRPr="00DA6105">
        <w:rPr>
          <w:rFonts w:ascii="Century Gothic" w:hAnsi="Century Gothic"/>
          <w:b/>
          <w:bCs/>
        </w:rPr>
        <w:t>three appointed harvest festivals</w:t>
      </w:r>
      <w:r w:rsidRPr="00DA6105">
        <w:rPr>
          <w:rFonts w:ascii="Century Gothic" w:hAnsi="Century Gothic"/>
        </w:rPr>
        <w:t> each year:</w:t>
      </w:r>
    </w:p>
    <w:p w14:paraId="7DDE73F8" w14:textId="77777777" w:rsidR="00B91F2D" w:rsidRPr="0064376A" w:rsidRDefault="00DA6105" w:rsidP="0064376A">
      <w:pPr>
        <w:spacing w:after="0" w:line="256" w:lineRule="auto"/>
        <w:rPr>
          <w:rFonts w:ascii="Century Gothic" w:hAnsi="Century Gothic"/>
          <w:sz w:val="16"/>
          <w:szCs w:val="16"/>
        </w:rPr>
      </w:pPr>
      <w:r w:rsidRPr="00DA6105">
        <w:rPr>
          <w:rFonts w:ascii="Century Gothic" w:hAnsi="Century Gothic"/>
        </w:rPr>
        <w:t>“Three times a year you shall observe a festival for Me:</w:t>
      </w:r>
    </w:p>
    <w:p w14:paraId="1B527683" w14:textId="6909ACDC" w:rsidR="00DA6105" w:rsidRPr="00DA6105" w:rsidRDefault="00DA6105" w:rsidP="0064376A">
      <w:pPr>
        <w:spacing w:after="0" w:line="256" w:lineRule="auto"/>
        <w:ind w:left="720"/>
        <w:rPr>
          <w:rFonts w:ascii="Century Gothic" w:hAnsi="Century Gothic"/>
        </w:rPr>
      </w:pPr>
      <w:r w:rsidRPr="00DA6105">
        <w:rPr>
          <w:rFonts w:ascii="Century Gothic" w:hAnsi="Century Gothic"/>
          <w:sz w:val="16"/>
          <w:szCs w:val="16"/>
        </w:rPr>
        <w:br/>
      </w:r>
      <w:r w:rsidRPr="00DA6105">
        <w:rPr>
          <w:rFonts w:ascii="Century Gothic" w:hAnsi="Century Gothic"/>
        </w:rPr>
        <w:t>(1) Keep the Festival of Unleavened Bread (</w:t>
      </w:r>
      <w:proofErr w:type="spellStart"/>
      <w:r w:rsidRPr="00DA6105">
        <w:rPr>
          <w:rFonts w:ascii="Century Gothic" w:hAnsi="Century Gothic"/>
        </w:rPr>
        <w:t>Matzot</w:t>
      </w:r>
      <w:proofErr w:type="spellEnd"/>
      <w:r w:rsidRPr="00DA6105">
        <w:rPr>
          <w:rFonts w:ascii="Century Gothic" w:hAnsi="Century Gothic"/>
        </w:rPr>
        <w:t>). For seven days, as I commanded you, you are to eat unleavened bread at the appointed time in the month of Aviv (the spring season), for it was in that month you came out of Egypt. No one shall appear before Me empty-handed.</w:t>
      </w:r>
      <w:r w:rsidRPr="00DA6105">
        <w:rPr>
          <w:rFonts w:ascii="Century Gothic" w:hAnsi="Century Gothic"/>
        </w:rPr>
        <w:br/>
        <w:t xml:space="preserve">(2) Observe the Festival of Harvest, the </w:t>
      </w:r>
      <w:proofErr w:type="spellStart"/>
      <w:r w:rsidRPr="00DA6105">
        <w:rPr>
          <w:rFonts w:ascii="Century Gothic" w:hAnsi="Century Gothic"/>
        </w:rPr>
        <w:t>firstfruits</w:t>
      </w:r>
      <w:proofErr w:type="spellEnd"/>
      <w:r w:rsidRPr="00DA6105">
        <w:rPr>
          <w:rFonts w:ascii="Century Gothic" w:hAnsi="Century Gothic"/>
        </w:rPr>
        <w:t xml:space="preserve"> of your labors from what you sow in the field.</w:t>
      </w:r>
      <w:r w:rsidRPr="00DA6105">
        <w:rPr>
          <w:rFonts w:ascii="Century Gothic" w:hAnsi="Century Gothic"/>
        </w:rPr>
        <w:br/>
        <w:t xml:space="preserve">(3) And the </w:t>
      </w:r>
      <w:r w:rsidRPr="00DA6105">
        <w:rPr>
          <w:rFonts w:ascii="Century Gothic" w:hAnsi="Century Gothic"/>
          <w:b/>
          <w:bCs/>
          <w:i/>
          <w:iCs/>
        </w:rPr>
        <w:t>Festival of Ingathering</w:t>
      </w:r>
      <w:r w:rsidRPr="00DA6105">
        <w:rPr>
          <w:rFonts w:ascii="Century Gothic" w:hAnsi="Century Gothic"/>
        </w:rPr>
        <w:t>, at the end of the year, when you gather in your produce from the field.</w:t>
      </w:r>
      <w:r w:rsidRPr="00DA6105">
        <w:rPr>
          <w:rFonts w:ascii="Century Gothic" w:hAnsi="Century Gothic"/>
        </w:rPr>
        <w:br/>
        <w:t>Three times a year all your males shall appear before the Sovereign</w:t>
      </w:r>
      <w:r w:rsidR="004C605B">
        <w:rPr>
          <w:rFonts w:ascii="Century Gothic" w:hAnsi="Century Gothic"/>
        </w:rPr>
        <w:t xml:space="preserve"> ONE, </w:t>
      </w:r>
      <w:r w:rsidR="004C605B" w:rsidRPr="00BB3B9B">
        <w:rPr>
          <w:rFonts w:ascii="Biome" w:eastAsia="Cavolini" w:hAnsi="Biome" w:cs="Biome"/>
          <w:b/>
          <w:bCs/>
          <w:noProof/>
        </w:rPr>
        <w:drawing>
          <wp:inline distT="0" distB="0" distL="0" distR="0" wp14:anchorId="33395554" wp14:editId="398B5673">
            <wp:extent cx="231927" cy="138430"/>
            <wp:effectExtent l="0" t="0" r="0" b="0"/>
            <wp:docPr id="11278282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Pr="00DA6105">
        <w:rPr>
          <w:rFonts w:ascii="Century Gothic" w:hAnsi="Century Gothic"/>
        </w:rPr>
        <w:t>.”</w:t>
      </w:r>
    </w:p>
    <w:p w14:paraId="70B9044E" w14:textId="77777777" w:rsidR="0064376A" w:rsidRDefault="0064376A" w:rsidP="00DA6105">
      <w:pPr>
        <w:spacing w:line="256" w:lineRule="auto"/>
        <w:rPr>
          <w:rFonts w:ascii="Century Gothic" w:hAnsi="Century Gothic"/>
        </w:rPr>
      </w:pPr>
    </w:p>
    <w:p w14:paraId="45993B62" w14:textId="39825DDF" w:rsidR="00DA6105" w:rsidRPr="00DA6105" w:rsidRDefault="00DA6105" w:rsidP="00DA6105">
      <w:pPr>
        <w:spacing w:line="256" w:lineRule="auto"/>
        <w:rPr>
          <w:rFonts w:ascii="Century Gothic" w:hAnsi="Century Gothic"/>
          <w:b/>
          <w:bCs/>
        </w:rPr>
      </w:pPr>
      <w:r w:rsidRPr="00DA6105">
        <w:rPr>
          <w:rFonts w:ascii="Century Gothic" w:hAnsi="Century Gothic"/>
        </w:rPr>
        <w:t>Notice that the third appointed time is called the </w:t>
      </w:r>
      <w:r w:rsidRPr="00DA6105">
        <w:rPr>
          <w:rFonts w:ascii="Century Gothic" w:hAnsi="Century Gothic"/>
          <w:b/>
          <w:bCs/>
        </w:rPr>
        <w:t>Festival of Ingathering</w:t>
      </w:r>
      <w:r w:rsidRPr="00DA6105">
        <w:rPr>
          <w:rFonts w:ascii="Century Gothic" w:hAnsi="Century Gothic"/>
        </w:rPr>
        <w:t xml:space="preserve">, not specifically </w:t>
      </w:r>
      <w:r w:rsidR="009556A9">
        <w:rPr>
          <w:rFonts w:ascii="Century Gothic" w:hAnsi="Century Gothic"/>
        </w:rPr>
        <w:t>as</w:t>
      </w:r>
      <w:r w:rsidRPr="00DA6105">
        <w:rPr>
          <w:rFonts w:ascii="Century Gothic" w:hAnsi="Century Gothic"/>
        </w:rPr>
        <w:t xml:space="preserve"> “Festival of Tabernacles” </w:t>
      </w:r>
      <w:r w:rsidR="006E6663">
        <w:rPr>
          <w:rFonts w:ascii="Century Gothic" w:hAnsi="Century Gothic"/>
        </w:rPr>
        <w:t xml:space="preserve">or </w:t>
      </w:r>
      <w:r w:rsidR="007D3CD7">
        <w:rPr>
          <w:rFonts w:ascii="Century Gothic" w:hAnsi="Century Gothic"/>
        </w:rPr>
        <w:t>“</w:t>
      </w:r>
      <w:r w:rsidR="006E6663">
        <w:rPr>
          <w:rFonts w:ascii="Century Gothic" w:hAnsi="Century Gothic"/>
        </w:rPr>
        <w:t xml:space="preserve">Feast of </w:t>
      </w:r>
      <w:r w:rsidRPr="00DA6105">
        <w:rPr>
          <w:rFonts w:ascii="Century Gothic" w:hAnsi="Century Gothic"/>
          <w:i/>
          <w:iCs/>
        </w:rPr>
        <w:t>Sukkot</w:t>
      </w:r>
      <w:r w:rsidR="007D3CD7">
        <w:rPr>
          <w:rFonts w:ascii="Century Gothic" w:hAnsi="Century Gothic"/>
        </w:rPr>
        <w:t>”</w:t>
      </w:r>
      <w:r w:rsidRPr="00DA6105">
        <w:rPr>
          <w:rFonts w:ascii="Century Gothic" w:hAnsi="Century Gothic"/>
        </w:rPr>
        <w:t xml:space="preserve">. </w:t>
      </w:r>
      <w:r w:rsidR="007D3CD7">
        <w:rPr>
          <w:rFonts w:ascii="Century Gothic" w:hAnsi="Century Gothic"/>
        </w:rPr>
        <w:t>However,</w:t>
      </w:r>
      <w:r w:rsidRPr="00DA6105">
        <w:rPr>
          <w:rFonts w:ascii="Century Gothic" w:hAnsi="Century Gothic"/>
        </w:rPr>
        <w:t xml:space="preserve"> </w:t>
      </w:r>
      <w:r w:rsidRPr="00DA6105">
        <w:rPr>
          <w:rFonts w:ascii="Century Gothic" w:hAnsi="Century Gothic"/>
          <w:i/>
          <w:iCs/>
        </w:rPr>
        <w:t>Leviticus 23:33–43</w:t>
      </w:r>
      <w:r w:rsidRPr="00DA6105">
        <w:rPr>
          <w:rFonts w:ascii="Century Gothic" w:hAnsi="Century Gothic"/>
        </w:rPr>
        <w:t> and </w:t>
      </w:r>
      <w:r w:rsidRPr="00DA6105">
        <w:rPr>
          <w:rFonts w:ascii="Century Gothic" w:hAnsi="Century Gothic"/>
          <w:i/>
          <w:iCs/>
        </w:rPr>
        <w:t>Deuteronomy 16:13–15</w:t>
      </w:r>
      <w:r w:rsidRPr="00DA6105">
        <w:rPr>
          <w:rFonts w:ascii="Century Gothic" w:hAnsi="Century Gothic"/>
        </w:rPr>
        <w:t xml:space="preserve">, </w:t>
      </w:r>
      <w:r w:rsidR="007D3CD7">
        <w:rPr>
          <w:rFonts w:ascii="Century Gothic" w:hAnsi="Century Gothic"/>
        </w:rPr>
        <w:t>did</w:t>
      </w:r>
      <w:r w:rsidRPr="00DA6105">
        <w:rPr>
          <w:rFonts w:ascii="Century Gothic" w:hAnsi="Century Gothic"/>
        </w:rPr>
        <w:t xml:space="preserve"> </w:t>
      </w:r>
      <w:r w:rsidR="009F09D3">
        <w:rPr>
          <w:rFonts w:ascii="Century Gothic" w:hAnsi="Century Gothic"/>
        </w:rPr>
        <w:t>mention</w:t>
      </w:r>
      <w:r w:rsidR="000E0C98">
        <w:rPr>
          <w:rFonts w:ascii="Century Gothic" w:hAnsi="Century Gothic"/>
          <w:b/>
          <w:bCs/>
        </w:rPr>
        <w:t xml:space="preserve"> </w:t>
      </w:r>
      <w:r w:rsidR="000E0C98" w:rsidRPr="000E0C98">
        <w:rPr>
          <w:rFonts w:ascii="Century Gothic" w:hAnsi="Century Gothic"/>
          <w:b/>
          <w:bCs/>
        </w:rPr>
        <w:t>“</w:t>
      </w:r>
      <w:r w:rsidR="000E0C98" w:rsidRPr="00EB2156">
        <w:rPr>
          <w:rFonts w:ascii="Century Gothic" w:hAnsi="Century Gothic"/>
        </w:rPr>
        <w:t>to observe the</w:t>
      </w:r>
      <w:r w:rsidR="000E0C98" w:rsidRPr="000E0C98">
        <w:rPr>
          <w:rFonts w:ascii="Century Gothic" w:hAnsi="Century Gothic"/>
          <w:b/>
          <w:bCs/>
        </w:rPr>
        <w:t xml:space="preserve"> festival of the booths </w:t>
      </w:r>
      <w:r w:rsidR="000E0C98" w:rsidRPr="00EB2156">
        <w:rPr>
          <w:rFonts w:ascii="Century Gothic" w:hAnsi="Century Gothic"/>
        </w:rPr>
        <w:t>for seven days</w:t>
      </w:r>
      <w:r w:rsidR="000E0C98" w:rsidRPr="000E0C98">
        <w:rPr>
          <w:rFonts w:ascii="Century Gothic" w:hAnsi="Century Gothic"/>
          <w:b/>
          <w:bCs/>
        </w:rPr>
        <w:t xml:space="preserve">”, </w:t>
      </w:r>
      <w:r w:rsidR="000E0C98" w:rsidRPr="00EB2156">
        <w:rPr>
          <w:rFonts w:ascii="Century Gothic" w:hAnsi="Century Gothic"/>
        </w:rPr>
        <w:t xml:space="preserve">but this is not what </w:t>
      </w:r>
      <w:r w:rsidR="00EB2156">
        <w:rPr>
          <w:rFonts w:ascii="Century Gothic" w:hAnsi="Century Gothic"/>
        </w:rPr>
        <w:t>it</w:t>
      </w:r>
      <w:r w:rsidR="000E0C98" w:rsidRPr="00EB2156">
        <w:rPr>
          <w:rFonts w:ascii="Century Gothic" w:hAnsi="Century Gothic"/>
        </w:rPr>
        <w:t xml:space="preserve"> </w:t>
      </w:r>
      <w:r w:rsidR="00EA2047" w:rsidRPr="00EB2156">
        <w:rPr>
          <w:rFonts w:ascii="Century Gothic" w:hAnsi="Century Gothic"/>
        </w:rPr>
        <w:t>highlights</w:t>
      </w:r>
      <w:r w:rsidR="00EB2156">
        <w:rPr>
          <w:rFonts w:ascii="Century Gothic" w:hAnsi="Century Gothic"/>
        </w:rPr>
        <w:t xml:space="preserve"> as</w:t>
      </w:r>
      <w:r w:rsidR="000E0C98" w:rsidRPr="00EB2156">
        <w:rPr>
          <w:rFonts w:ascii="Century Gothic" w:hAnsi="Century Gothic"/>
        </w:rPr>
        <w:t>, one of the three festival harvest of the year. In another word,</w:t>
      </w:r>
      <w:r w:rsidR="00EA2047">
        <w:rPr>
          <w:rFonts w:ascii="Century Gothic" w:hAnsi="Century Gothic"/>
        </w:rPr>
        <w:t xml:space="preserve"> </w:t>
      </w:r>
      <w:r w:rsidR="00EA2047" w:rsidRPr="00BB3B9B">
        <w:rPr>
          <w:rFonts w:ascii="Biome" w:eastAsia="Cavolini" w:hAnsi="Biome" w:cs="Biome"/>
          <w:b/>
          <w:bCs/>
          <w:noProof/>
        </w:rPr>
        <w:drawing>
          <wp:inline distT="0" distB="0" distL="0" distR="0" wp14:anchorId="33F8A646" wp14:editId="650F9130">
            <wp:extent cx="231927" cy="138430"/>
            <wp:effectExtent l="0" t="0" r="0" b="0"/>
            <wp:docPr id="4237138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000E0C98" w:rsidRPr="00EB2156">
        <w:rPr>
          <w:rFonts w:ascii="Century Gothic" w:hAnsi="Century Gothic"/>
        </w:rPr>
        <w:t> want us to observe the festival by dwelling in a</w:t>
      </w:r>
      <w:r w:rsidR="00EA2047">
        <w:rPr>
          <w:rFonts w:ascii="Century Gothic" w:hAnsi="Century Gothic"/>
        </w:rPr>
        <w:t xml:space="preserve"> </w:t>
      </w:r>
      <w:r w:rsidR="0014131C" w:rsidRPr="008935AF">
        <w:rPr>
          <w:rFonts w:ascii="Century Gothic" w:eastAsia="Times New Roman" w:hAnsi="Century Gothic" w:cs="Calibri"/>
        </w:rPr>
        <w:t xml:space="preserve">temporary </w:t>
      </w:r>
      <w:r w:rsidR="000E0C98" w:rsidRPr="00EB2156">
        <w:rPr>
          <w:rFonts w:ascii="Century Gothic" w:hAnsi="Century Gothic"/>
        </w:rPr>
        <w:t>booth for</w:t>
      </w:r>
      <w:r w:rsidR="00311FFD">
        <w:rPr>
          <w:rFonts w:ascii="Century Gothic" w:hAnsi="Century Gothic"/>
        </w:rPr>
        <w:t xml:space="preserve"> </w:t>
      </w:r>
      <w:r w:rsidRPr="00DA6105">
        <w:rPr>
          <w:rFonts w:ascii="Century Gothic" w:hAnsi="Century Gothic"/>
        </w:rPr>
        <w:t>seven-day time of rejoicing, remembrance, and thanksgiving for the final harvest and for the Creator’s provision in the wilderness.</w:t>
      </w:r>
    </w:p>
    <w:p w14:paraId="6F98B09D" w14:textId="77777777" w:rsidR="008935AF" w:rsidRPr="008935AF" w:rsidRDefault="008935AF" w:rsidP="008935AF">
      <w:pPr>
        <w:spacing w:line="256" w:lineRule="auto"/>
        <w:rPr>
          <w:rFonts w:ascii="Century Gothic" w:eastAsia="Times New Roman" w:hAnsi="Century Gothic" w:cs="Calibri"/>
          <w:b/>
          <w:bCs/>
        </w:rPr>
      </w:pPr>
      <w:r w:rsidRPr="008935AF">
        <w:rPr>
          <w:rFonts w:ascii="Century Gothic" w:eastAsia="Times New Roman" w:hAnsi="Century Gothic" w:cs="Calibri"/>
          <w:b/>
          <w:bCs/>
        </w:rPr>
        <w:t>The Three Annual Pilgrimage Festivals</w:t>
      </w:r>
    </w:p>
    <w:p w14:paraId="4FBC67E0" w14:textId="77777777" w:rsidR="008935AF" w:rsidRPr="008935AF" w:rsidRDefault="008935AF" w:rsidP="008935AF">
      <w:pPr>
        <w:numPr>
          <w:ilvl w:val="0"/>
          <w:numId w:val="6"/>
        </w:numPr>
        <w:spacing w:line="256" w:lineRule="auto"/>
        <w:rPr>
          <w:rFonts w:ascii="Century Gothic" w:eastAsia="Times New Roman" w:hAnsi="Century Gothic" w:cs="Calibri"/>
        </w:rPr>
      </w:pPr>
      <w:r w:rsidRPr="008935AF">
        <w:rPr>
          <w:rFonts w:ascii="Century Gothic" w:eastAsia="Times New Roman" w:hAnsi="Century Gothic" w:cs="Calibri"/>
          <w:b/>
          <w:bCs/>
        </w:rPr>
        <w:t>Festival of Unleavened Bread</w:t>
      </w:r>
      <w:r w:rsidRPr="008935AF">
        <w:rPr>
          <w:rFonts w:ascii="Century Gothic" w:eastAsia="Times New Roman" w:hAnsi="Century Gothic" w:cs="Calibri"/>
        </w:rPr>
        <w:t> – In the spring, commemorating the Exodus from Egypt.</w:t>
      </w:r>
    </w:p>
    <w:p w14:paraId="09E9EB7F" w14:textId="276E5CE4" w:rsidR="008935AF" w:rsidRPr="008935AF" w:rsidRDefault="008935AF" w:rsidP="008935AF">
      <w:pPr>
        <w:numPr>
          <w:ilvl w:val="0"/>
          <w:numId w:val="6"/>
        </w:numPr>
        <w:spacing w:line="256" w:lineRule="auto"/>
        <w:rPr>
          <w:rFonts w:ascii="Century Gothic" w:eastAsia="Times New Roman" w:hAnsi="Century Gothic" w:cs="Calibri"/>
        </w:rPr>
      </w:pPr>
      <w:r w:rsidRPr="008935AF">
        <w:rPr>
          <w:rFonts w:ascii="Century Gothic" w:eastAsia="Times New Roman" w:hAnsi="Century Gothic" w:cs="Calibri"/>
          <w:b/>
          <w:bCs/>
        </w:rPr>
        <w:t>Festival of Harvest (Shavuot)</w:t>
      </w:r>
      <w:r w:rsidRPr="008935AF">
        <w:rPr>
          <w:rFonts w:ascii="Century Gothic" w:eastAsia="Times New Roman" w:hAnsi="Century Gothic" w:cs="Calibri"/>
        </w:rPr>
        <w:t xml:space="preserve"> – Early summer, celebrating the wheat harvest and the giving of the </w:t>
      </w:r>
      <w:r w:rsidR="00A616D1">
        <w:rPr>
          <w:rFonts w:ascii="Century Gothic" w:eastAsia="Times New Roman" w:hAnsi="Century Gothic" w:cs="Calibri"/>
        </w:rPr>
        <w:t xml:space="preserve">five books of the </w:t>
      </w:r>
      <w:r w:rsidRPr="008935AF">
        <w:rPr>
          <w:rFonts w:ascii="Century Gothic" w:eastAsia="Times New Roman" w:hAnsi="Century Gothic" w:cs="Calibri"/>
        </w:rPr>
        <w:t>Laws, Decrees, and Judgments.</w:t>
      </w:r>
    </w:p>
    <w:p w14:paraId="6DFC28EC" w14:textId="571E8713" w:rsidR="008935AF" w:rsidRPr="008935AF" w:rsidRDefault="008935AF" w:rsidP="008935AF">
      <w:pPr>
        <w:numPr>
          <w:ilvl w:val="0"/>
          <w:numId w:val="6"/>
        </w:numPr>
        <w:spacing w:line="256" w:lineRule="auto"/>
        <w:rPr>
          <w:rFonts w:ascii="Century Gothic" w:eastAsia="Times New Roman" w:hAnsi="Century Gothic" w:cs="Calibri"/>
        </w:rPr>
      </w:pPr>
      <w:r w:rsidRPr="008935AF">
        <w:rPr>
          <w:rFonts w:ascii="Century Gothic" w:eastAsia="Times New Roman" w:hAnsi="Century Gothic" w:cs="Calibri"/>
          <w:b/>
          <w:bCs/>
        </w:rPr>
        <w:lastRenderedPageBreak/>
        <w:t xml:space="preserve">Festival </w:t>
      </w:r>
      <w:r w:rsidR="006E6663">
        <w:rPr>
          <w:rFonts w:ascii="Century Gothic" w:eastAsia="Times New Roman" w:hAnsi="Century Gothic" w:cs="Calibri"/>
          <w:b/>
          <w:bCs/>
        </w:rPr>
        <w:t xml:space="preserve">of </w:t>
      </w:r>
      <w:r w:rsidRPr="008935AF">
        <w:rPr>
          <w:rFonts w:ascii="Century Gothic" w:eastAsia="Times New Roman" w:hAnsi="Century Gothic" w:cs="Calibri"/>
          <w:b/>
          <w:bCs/>
        </w:rPr>
        <w:t>Ingathering</w:t>
      </w:r>
      <w:r w:rsidRPr="008935AF">
        <w:rPr>
          <w:rFonts w:ascii="Century Gothic" w:eastAsia="Times New Roman" w:hAnsi="Century Gothic" w:cs="Calibri"/>
        </w:rPr>
        <w:t> – In the fall, marking the completion of the year’s harvest and memorializing how the Israelites dwelled in temporary shelters in the wilderness.</w:t>
      </w:r>
    </w:p>
    <w:p w14:paraId="7DBAD201" w14:textId="77777777" w:rsidR="008935AF" w:rsidRPr="008935AF" w:rsidRDefault="008935AF" w:rsidP="008935AF">
      <w:pPr>
        <w:spacing w:line="256" w:lineRule="auto"/>
        <w:rPr>
          <w:rFonts w:ascii="Century Gothic" w:eastAsia="Times New Roman" w:hAnsi="Century Gothic" w:cs="Calibri"/>
        </w:rPr>
      </w:pPr>
      <w:r w:rsidRPr="008935AF">
        <w:rPr>
          <w:rFonts w:ascii="Century Gothic" w:eastAsia="Times New Roman" w:hAnsi="Century Gothic" w:cs="Calibri"/>
        </w:rPr>
        <w:t>These three appointed times required all men of Yisrael to appear before the Creator:</w:t>
      </w:r>
    </w:p>
    <w:p w14:paraId="03175C57" w14:textId="77777777" w:rsidR="008935AF" w:rsidRPr="008935AF" w:rsidRDefault="008935AF" w:rsidP="008935AF">
      <w:pPr>
        <w:numPr>
          <w:ilvl w:val="0"/>
          <w:numId w:val="7"/>
        </w:numPr>
        <w:spacing w:line="256" w:lineRule="auto"/>
        <w:rPr>
          <w:rFonts w:ascii="Century Gothic" w:eastAsia="Times New Roman" w:hAnsi="Century Gothic" w:cs="Calibri"/>
        </w:rPr>
      </w:pPr>
      <w:r w:rsidRPr="008935AF">
        <w:rPr>
          <w:rFonts w:ascii="Century Gothic" w:eastAsia="Times New Roman" w:hAnsi="Century Gothic" w:cs="Calibri"/>
          <w:b/>
          <w:bCs/>
          <w:i/>
          <w:iCs/>
        </w:rPr>
        <w:t>Exodus 23:14–1</w:t>
      </w:r>
      <w:r w:rsidRPr="008935AF">
        <w:rPr>
          <w:rFonts w:ascii="Century Gothic" w:eastAsia="Times New Roman" w:hAnsi="Century Gothic" w:cs="Calibri"/>
          <w:i/>
          <w:iCs/>
        </w:rPr>
        <w:t>7</w:t>
      </w:r>
      <w:r w:rsidRPr="008935AF">
        <w:rPr>
          <w:rFonts w:ascii="Century Gothic" w:eastAsia="Times New Roman" w:hAnsi="Century Gothic" w:cs="Calibri"/>
        </w:rPr>
        <w:t> – The initial command.</w:t>
      </w:r>
    </w:p>
    <w:p w14:paraId="1AAD4EC4" w14:textId="3C087C20" w:rsidR="008935AF" w:rsidRPr="00883778" w:rsidRDefault="008935AF" w:rsidP="00972B1E">
      <w:pPr>
        <w:numPr>
          <w:ilvl w:val="0"/>
          <w:numId w:val="7"/>
        </w:numPr>
        <w:spacing w:line="256" w:lineRule="auto"/>
        <w:rPr>
          <w:rFonts w:ascii="Century Gothic" w:eastAsia="Times New Roman" w:hAnsi="Century Gothic" w:cs="Calibri"/>
        </w:rPr>
      </w:pPr>
      <w:r w:rsidRPr="008935AF">
        <w:rPr>
          <w:rFonts w:ascii="Century Gothic" w:eastAsia="Times New Roman" w:hAnsi="Century Gothic" w:cs="Calibri"/>
          <w:b/>
          <w:bCs/>
          <w:i/>
          <w:iCs/>
        </w:rPr>
        <w:t>Exodus 34:23–24</w:t>
      </w:r>
      <w:r w:rsidRPr="008935AF">
        <w:rPr>
          <w:rFonts w:ascii="Century Gothic" w:eastAsia="Times New Roman" w:hAnsi="Century Gothic" w:cs="Calibri"/>
        </w:rPr>
        <w:t> – The reaffirmation of this command, with the promise that no one would covet their land while they were away obeying this pilgrimage.</w:t>
      </w:r>
    </w:p>
    <w:p w14:paraId="1806E145" w14:textId="3E1DDCD3" w:rsidR="00033C8D" w:rsidRPr="00AA2B24" w:rsidRDefault="006C6FFE" w:rsidP="00972B1E">
      <w:pPr>
        <w:spacing w:line="256" w:lineRule="auto"/>
        <w:rPr>
          <w:rFonts w:ascii="Century Gothic" w:eastAsia="Times New Roman" w:hAnsi="Century Gothic" w:cs="Calibri"/>
        </w:rPr>
      </w:pPr>
      <w:r w:rsidRPr="006C6FFE">
        <w:rPr>
          <w:rFonts w:ascii="Century Gothic" w:eastAsia="Times New Roman" w:hAnsi="Century Gothic" w:cs="Calibri"/>
        </w:rPr>
        <w:t> </w:t>
      </w:r>
    </w:p>
    <w:p w14:paraId="169C8798" w14:textId="3911D0AC" w:rsidR="00D75165" w:rsidRPr="00D75165" w:rsidRDefault="00D75165" w:rsidP="00D75165">
      <w:pPr>
        <w:spacing w:line="256" w:lineRule="auto"/>
        <w:rPr>
          <w:rFonts w:ascii="Century Gothic" w:eastAsia="Times New Roman" w:hAnsi="Century Gothic" w:cs="Calibri"/>
          <w:b/>
          <w:bCs/>
        </w:rPr>
      </w:pPr>
      <w:r w:rsidRPr="00D75165">
        <w:rPr>
          <w:rFonts w:ascii="Century Gothic" w:eastAsia="Times New Roman" w:hAnsi="Century Gothic" w:cs="Calibri"/>
          <w:b/>
          <w:bCs/>
        </w:rPr>
        <w:t>The Temporary Booths</w:t>
      </w:r>
      <w:r w:rsidR="00883778" w:rsidRPr="00883778">
        <w:rPr>
          <w:rFonts w:ascii="Century Gothic" w:eastAsia="Times New Roman" w:hAnsi="Century Gothic" w:cs="Calibri"/>
          <w:b/>
          <w:bCs/>
        </w:rPr>
        <w:t xml:space="preserve"> Looks Like?</w:t>
      </w:r>
    </w:p>
    <w:p w14:paraId="0E0A871F" w14:textId="50EDAC5F" w:rsidR="00D75165" w:rsidRPr="00D75165" w:rsidRDefault="00D75165" w:rsidP="00D75165">
      <w:pPr>
        <w:spacing w:line="256" w:lineRule="auto"/>
        <w:rPr>
          <w:rFonts w:ascii="Century Gothic" w:eastAsia="Times New Roman" w:hAnsi="Century Gothic" w:cs="Calibri"/>
        </w:rPr>
      </w:pPr>
      <w:r w:rsidRPr="00D75165">
        <w:rPr>
          <w:rFonts w:ascii="Century Gothic" w:eastAsia="Times New Roman" w:hAnsi="Century Gothic" w:cs="Calibri"/>
        </w:rPr>
        <w:t xml:space="preserve">The booth was a type of temporary shelter—essentially a tent. During their 40 years in the wilderness, the </w:t>
      </w:r>
      <w:proofErr w:type="spellStart"/>
      <w:r w:rsidRPr="00D75165">
        <w:rPr>
          <w:rFonts w:ascii="Century Gothic" w:eastAsia="Times New Roman" w:hAnsi="Century Gothic" w:cs="Calibri"/>
        </w:rPr>
        <w:t>Yisraelites</w:t>
      </w:r>
      <w:proofErr w:type="spellEnd"/>
      <w:r w:rsidRPr="00D75165">
        <w:rPr>
          <w:rFonts w:ascii="Century Gothic" w:eastAsia="Times New Roman" w:hAnsi="Century Gothic" w:cs="Calibri"/>
        </w:rPr>
        <w:t xml:space="preserve"> lived in these tents, often made of goat hair, called </w:t>
      </w:r>
      <w:r w:rsidRPr="00D75165">
        <w:rPr>
          <w:rFonts w:ascii="Century Gothic" w:eastAsia="Times New Roman" w:hAnsi="Century Gothic" w:cs="Calibri"/>
          <w:i/>
          <w:iCs/>
        </w:rPr>
        <w:t>sackcloth</w:t>
      </w:r>
      <w:r w:rsidRPr="00D75165">
        <w:rPr>
          <w:rFonts w:ascii="Century Gothic" w:eastAsia="Times New Roman" w:hAnsi="Century Gothic" w:cs="Calibri"/>
        </w:rPr>
        <w:t xml:space="preserve">, </w:t>
      </w:r>
      <w:proofErr w:type="gramStart"/>
      <w:r w:rsidRPr="00D75165">
        <w:rPr>
          <w:rFonts w:ascii="Century Gothic" w:eastAsia="Times New Roman" w:hAnsi="Century Gothic" w:cs="Calibri"/>
        </w:rPr>
        <w:t>similar to</w:t>
      </w:r>
      <w:proofErr w:type="gramEnd"/>
      <w:r w:rsidRPr="00D75165">
        <w:rPr>
          <w:rFonts w:ascii="Century Gothic" w:eastAsia="Times New Roman" w:hAnsi="Century Gothic" w:cs="Calibri"/>
        </w:rPr>
        <w:t> Bedouin tents still used today. These tents were dark in color and patched as needed.</w:t>
      </w:r>
    </w:p>
    <w:p w14:paraId="3B15373E" w14:textId="58153D0A" w:rsidR="0034285C" w:rsidRDefault="0034285C" w:rsidP="0034285C">
      <w:pPr>
        <w:jc w:val="center"/>
      </w:pPr>
      <w:r>
        <w:rPr>
          <w:noProof/>
        </w:rPr>
        <w:drawing>
          <wp:inline distT="0" distB="0" distL="0" distR="0" wp14:anchorId="37F50A02" wp14:editId="385FBE66">
            <wp:extent cx="1573534" cy="1047115"/>
            <wp:effectExtent l="95250" t="95250" r="102870" b="95885"/>
            <wp:docPr id="4" name="Picture 4" descr="A close up of a person's pa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person's pant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588823" cy="105728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t xml:space="preserve">      </w:t>
      </w:r>
      <w:r>
        <w:rPr>
          <w:noProof/>
        </w:rPr>
        <w:drawing>
          <wp:inline distT="0" distB="0" distL="0" distR="0" wp14:anchorId="3070F30E" wp14:editId="47652990">
            <wp:extent cx="1390650" cy="1043582"/>
            <wp:effectExtent l="95250" t="95250" r="95250" b="99695"/>
            <wp:docPr id="3" name="Picture 3" descr="A group of men standing in front of a tent in the dese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men standing in front of a tent in the deser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6815" cy="106321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t xml:space="preserve">      </w:t>
      </w:r>
      <w:r>
        <w:rPr>
          <w:noProof/>
        </w:rPr>
        <w:drawing>
          <wp:inline distT="0" distB="0" distL="0" distR="0" wp14:anchorId="2D7B7C0D" wp14:editId="57E26668">
            <wp:extent cx="1719193" cy="1060713"/>
            <wp:effectExtent l="95250" t="95250" r="90805" b="1016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9193" cy="106071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0BEC53E" w14:textId="77777777" w:rsidR="00311FFD" w:rsidRPr="00D75165" w:rsidRDefault="00311FFD" w:rsidP="00311FFD">
      <w:pPr>
        <w:spacing w:line="256" w:lineRule="auto"/>
        <w:rPr>
          <w:rFonts w:ascii="Century Gothic" w:eastAsia="Times New Roman" w:hAnsi="Century Gothic" w:cs="Calibri"/>
        </w:rPr>
      </w:pPr>
      <w:r w:rsidRPr="00D75165">
        <w:rPr>
          <w:rFonts w:ascii="Century Gothic" w:eastAsia="Times New Roman" w:hAnsi="Century Gothic" w:cs="Calibri"/>
        </w:rPr>
        <w:t>The Tabernacle (</w:t>
      </w:r>
      <w:proofErr w:type="spellStart"/>
      <w:r w:rsidRPr="00D75165">
        <w:rPr>
          <w:rFonts w:ascii="Century Gothic" w:eastAsia="Times New Roman" w:hAnsi="Century Gothic" w:cs="Calibri"/>
        </w:rPr>
        <w:t>Mishkan</w:t>
      </w:r>
      <w:proofErr w:type="spellEnd"/>
      <w:r w:rsidRPr="00D75165">
        <w:rPr>
          <w:rFonts w:ascii="Century Gothic" w:eastAsia="Times New Roman" w:hAnsi="Century Gothic" w:cs="Calibri"/>
        </w:rPr>
        <w:t xml:space="preserve">), a larger and more sacred tent, was constructed from goat hair, tanned ram skins, sea cow hides, </w:t>
      </w:r>
      <w:proofErr w:type="spellStart"/>
      <w:r w:rsidRPr="00D75165">
        <w:rPr>
          <w:rFonts w:ascii="Century Gothic" w:eastAsia="Times New Roman" w:hAnsi="Century Gothic" w:cs="Calibri"/>
        </w:rPr>
        <w:t>te</w:t>
      </w:r>
      <w:r w:rsidRPr="00D75165">
        <w:rPr>
          <w:rFonts w:ascii="Calibri" w:eastAsia="Times New Roman" w:hAnsi="Calibri" w:cs="Calibri"/>
        </w:rPr>
        <w:t>ḥ</w:t>
      </w:r>
      <w:r w:rsidRPr="00D75165">
        <w:rPr>
          <w:rFonts w:ascii="Century Gothic" w:eastAsia="Times New Roman" w:hAnsi="Century Gothic" w:cs="Calibri"/>
        </w:rPr>
        <w:t>ashim</w:t>
      </w:r>
      <w:proofErr w:type="spellEnd"/>
      <w:r w:rsidRPr="00D75165">
        <w:rPr>
          <w:rFonts w:ascii="Century Gothic" w:eastAsia="Times New Roman" w:hAnsi="Century Gothic" w:cs="Calibri"/>
        </w:rPr>
        <w:t xml:space="preserve"> skins, and acacia wood (see </w:t>
      </w:r>
      <w:r w:rsidRPr="00D75165">
        <w:rPr>
          <w:rFonts w:ascii="Century Gothic" w:eastAsia="Times New Roman" w:hAnsi="Century Gothic" w:cs="Calibri"/>
          <w:i/>
          <w:iCs/>
        </w:rPr>
        <w:t>Exodus 26</w:t>
      </w:r>
      <w:r w:rsidRPr="00D75165">
        <w:rPr>
          <w:rFonts w:ascii="Century Gothic" w:eastAsia="Times New Roman" w:hAnsi="Century Gothic" w:cs="Calibri"/>
        </w:rPr>
        <w:t>). This shows that the Israelites did not originally dwell in wooden “huts” covered with palm branches, but in fabric-based tents suitable for travel and desert conditions.</w:t>
      </w:r>
    </w:p>
    <w:p w14:paraId="41A1B9B5" w14:textId="77777777" w:rsidR="00311FFD" w:rsidRDefault="00311FFD" w:rsidP="00311FFD">
      <w:pPr>
        <w:spacing w:line="256" w:lineRule="auto"/>
      </w:pPr>
      <w:r>
        <w:t>(</w:t>
      </w:r>
      <w:hyperlink r:id="rId10" w:history="1">
        <w:r w:rsidRPr="00143361">
          <w:rPr>
            <w:rStyle w:val="Hyperlink"/>
            <w:sz w:val="18"/>
            <w:szCs w:val="18"/>
          </w:rPr>
          <w:t>https://www.biblegateway.com/passage/?search=Song+of+Solomon+1%3A5%3B+4%3A1%3B+2+Samuel+11%3A11%3B+Isaiah+50%3A3%3B+1+Kings+21%3A27%3B+2+Kings+19%3A1%2C+Dan.+9%3A3%2C+Jonah+3%3A5&amp;version=TLV;LEB;OJB;DRA</w:t>
        </w:r>
      </w:hyperlink>
      <w:r>
        <w:t xml:space="preserve">). </w:t>
      </w:r>
    </w:p>
    <w:p w14:paraId="70A4540F" w14:textId="3680A8B9" w:rsidR="00CA507B" w:rsidRDefault="00CA507B" w:rsidP="00434F20">
      <w:pPr>
        <w:rPr>
          <w:rFonts w:ascii="Century Gothic" w:hAnsi="Century Gothic"/>
          <w:b/>
          <w:bCs/>
          <w:color w:val="222222"/>
          <w:shd w:val="clear" w:color="auto" w:fill="FFFFFF"/>
        </w:rPr>
      </w:pPr>
      <w:r>
        <w:rPr>
          <w:noProof/>
        </w:rPr>
        <w:drawing>
          <wp:anchor distT="0" distB="0" distL="114300" distR="114300" simplePos="0" relativeHeight="251663872" behindDoc="0" locked="0" layoutInCell="1" allowOverlap="1" wp14:anchorId="5FCC4871" wp14:editId="11C7C527">
            <wp:simplePos x="0" y="0"/>
            <wp:positionH relativeFrom="margin">
              <wp:posOffset>1610360</wp:posOffset>
            </wp:positionH>
            <wp:positionV relativeFrom="paragraph">
              <wp:posOffset>223520</wp:posOffset>
            </wp:positionV>
            <wp:extent cx="2913380" cy="1964055"/>
            <wp:effectExtent l="95250" t="95250" r="96520" b="93345"/>
            <wp:wrapSquare wrapText="bothSides"/>
            <wp:docPr id="6" name="Picture 6" descr="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urfac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3380" cy="196405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22950986" w14:textId="314B72D2" w:rsidR="00CA507B" w:rsidRDefault="00CA507B" w:rsidP="00434F20">
      <w:pPr>
        <w:rPr>
          <w:rFonts w:ascii="Century Gothic" w:hAnsi="Century Gothic"/>
          <w:b/>
          <w:bCs/>
          <w:color w:val="222222"/>
          <w:shd w:val="clear" w:color="auto" w:fill="FFFFFF"/>
        </w:rPr>
      </w:pPr>
    </w:p>
    <w:p w14:paraId="0C5FAF90" w14:textId="77777777" w:rsidR="00CA507B" w:rsidRDefault="00CA507B" w:rsidP="00434F20">
      <w:pPr>
        <w:rPr>
          <w:rFonts w:ascii="Century Gothic" w:hAnsi="Century Gothic"/>
          <w:b/>
          <w:bCs/>
          <w:color w:val="222222"/>
          <w:shd w:val="clear" w:color="auto" w:fill="FFFFFF"/>
        </w:rPr>
      </w:pPr>
    </w:p>
    <w:p w14:paraId="786E1535" w14:textId="77777777" w:rsidR="00CA507B" w:rsidRDefault="00CA507B" w:rsidP="00434F20">
      <w:pPr>
        <w:rPr>
          <w:rFonts w:ascii="Century Gothic" w:hAnsi="Century Gothic"/>
          <w:b/>
          <w:bCs/>
          <w:color w:val="222222"/>
          <w:shd w:val="clear" w:color="auto" w:fill="FFFFFF"/>
        </w:rPr>
      </w:pPr>
    </w:p>
    <w:p w14:paraId="0CEDDE90" w14:textId="77777777" w:rsidR="00CA507B" w:rsidRDefault="00CA507B" w:rsidP="00434F20">
      <w:pPr>
        <w:rPr>
          <w:rFonts w:ascii="Century Gothic" w:hAnsi="Century Gothic"/>
          <w:b/>
          <w:bCs/>
          <w:color w:val="222222"/>
          <w:shd w:val="clear" w:color="auto" w:fill="FFFFFF"/>
        </w:rPr>
      </w:pPr>
    </w:p>
    <w:p w14:paraId="755EB2B2" w14:textId="77777777" w:rsidR="00CA507B" w:rsidRDefault="00CA507B" w:rsidP="00434F20">
      <w:pPr>
        <w:rPr>
          <w:rFonts w:ascii="Century Gothic" w:hAnsi="Century Gothic"/>
          <w:b/>
          <w:bCs/>
          <w:color w:val="222222"/>
          <w:shd w:val="clear" w:color="auto" w:fill="FFFFFF"/>
        </w:rPr>
      </w:pPr>
    </w:p>
    <w:p w14:paraId="389BCE93" w14:textId="77777777" w:rsidR="00CA507B" w:rsidRDefault="00CA507B" w:rsidP="00434F20">
      <w:pPr>
        <w:rPr>
          <w:rFonts w:ascii="Century Gothic" w:hAnsi="Century Gothic"/>
          <w:b/>
          <w:bCs/>
          <w:color w:val="222222"/>
          <w:shd w:val="clear" w:color="auto" w:fill="FFFFFF"/>
        </w:rPr>
      </w:pPr>
    </w:p>
    <w:p w14:paraId="4E64C4C6" w14:textId="77777777" w:rsidR="00CA507B" w:rsidRDefault="00CA507B" w:rsidP="00434F20">
      <w:pPr>
        <w:rPr>
          <w:rFonts w:ascii="Century Gothic" w:hAnsi="Century Gothic"/>
          <w:b/>
          <w:bCs/>
          <w:color w:val="222222"/>
          <w:shd w:val="clear" w:color="auto" w:fill="FFFFFF"/>
        </w:rPr>
      </w:pPr>
    </w:p>
    <w:p w14:paraId="78B65A84" w14:textId="77777777" w:rsidR="00CA507B" w:rsidRDefault="00CA507B" w:rsidP="00434F20">
      <w:pPr>
        <w:rPr>
          <w:rFonts w:ascii="Century Gothic" w:hAnsi="Century Gothic"/>
          <w:b/>
          <w:bCs/>
          <w:color w:val="222222"/>
          <w:shd w:val="clear" w:color="auto" w:fill="FFFFFF"/>
        </w:rPr>
      </w:pPr>
    </w:p>
    <w:p w14:paraId="2CAA7F1A" w14:textId="08D634FB" w:rsidR="00434F20" w:rsidRPr="00434F20" w:rsidRDefault="00434F20" w:rsidP="00434F20">
      <w:pPr>
        <w:rPr>
          <w:rFonts w:ascii="Century Gothic" w:hAnsi="Century Gothic"/>
          <w:b/>
          <w:bCs/>
          <w:color w:val="222222"/>
          <w:shd w:val="clear" w:color="auto" w:fill="FFFFFF"/>
        </w:rPr>
      </w:pPr>
      <w:r w:rsidRPr="00434F20">
        <w:rPr>
          <w:rFonts w:ascii="Century Gothic" w:hAnsi="Century Gothic"/>
          <w:b/>
          <w:bCs/>
          <w:color w:val="222222"/>
          <w:shd w:val="clear" w:color="auto" w:fill="FFFFFF"/>
        </w:rPr>
        <w:lastRenderedPageBreak/>
        <w:t>The Command to Travel and Dwell</w:t>
      </w:r>
    </w:p>
    <w:p w14:paraId="23DACFB4" w14:textId="77777777" w:rsidR="00434F20" w:rsidRPr="00434F20" w:rsidRDefault="00434F20" w:rsidP="00434F20">
      <w:pPr>
        <w:rPr>
          <w:rFonts w:ascii="Century Gothic" w:hAnsi="Century Gothic"/>
          <w:color w:val="222222"/>
          <w:shd w:val="clear" w:color="auto" w:fill="FFFFFF"/>
        </w:rPr>
      </w:pPr>
      <w:r w:rsidRPr="00434F20">
        <w:rPr>
          <w:rFonts w:ascii="Century Gothic" w:hAnsi="Century Gothic"/>
          <w:i/>
          <w:iCs/>
          <w:color w:val="222222"/>
          <w:shd w:val="clear" w:color="auto" w:fill="FFFFFF"/>
        </w:rPr>
        <w:t>Deuteronomy 16:16</w:t>
      </w:r>
      <w:r w:rsidRPr="00434F20">
        <w:rPr>
          <w:rFonts w:ascii="Century Gothic" w:hAnsi="Century Gothic"/>
          <w:color w:val="222222"/>
          <w:shd w:val="clear" w:color="auto" w:fill="FFFFFF"/>
        </w:rPr>
        <w:t> explains:</w:t>
      </w:r>
    </w:p>
    <w:p w14:paraId="1C5EFC44" w14:textId="5F5EB75F" w:rsidR="00434F20" w:rsidRPr="00434F20" w:rsidRDefault="00434F20" w:rsidP="00434F20">
      <w:pPr>
        <w:numPr>
          <w:ilvl w:val="0"/>
          <w:numId w:val="8"/>
        </w:numPr>
        <w:rPr>
          <w:rFonts w:ascii="Century Gothic" w:hAnsi="Century Gothic"/>
          <w:color w:val="222222"/>
          <w:shd w:val="clear" w:color="auto" w:fill="FFFFFF"/>
        </w:rPr>
      </w:pPr>
      <w:r w:rsidRPr="00434F20">
        <w:rPr>
          <w:rFonts w:ascii="Century Gothic" w:hAnsi="Century Gothic"/>
          <w:b/>
          <w:bCs/>
          <w:color w:val="222222"/>
          <w:shd w:val="clear" w:color="auto" w:fill="FFFFFF"/>
        </w:rPr>
        <w:t>The Travel</w:t>
      </w:r>
      <w:r w:rsidRPr="00434F20">
        <w:rPr>
          <w:rFonts w:ascii="Century Gothic" w:hAnsi="Century Gothic"/>
          <w:color w:val="222222"/>
          <w:shd w:val="clear" w:color="auto" w:fill="FFFFFF"/>
        </w:rPr>
        <w:t xml:space="preserve">: All males were to appear before the Creator </w:t>
      </w:r>
      <w:r w:rsidR="000C368A">
        <w:rPr>
          <w:rFonts w:ascii="Century Gothic" w:hAnsi="Century Gothic"/>
          <w:color w:val="222222"/>
          <w:shd w:val="clear" w:color="auto" w:fill="FFFFFF"/>
        </w:rPr>
        <w:t xml:space="preserve">ONE, </w:t>
      </w:r>
      <w:r w:rsidR="000C368A" w:rsidRPr="00BB3B9B">
        <w:rPr>
          <w:rFonts w:ascii="Biome" w:eastAsia="Cavolini" w:hAnsi="Biome" w:cs="Biome"/>
          <w:b/>
          <w:bCs/>
          <w:noProof/>
        </w:rPr>
        <w:drawing>
          <wp:inline distT="0" distB="0" distL="0" distR="0" wp14:anchorId="431C954D" wp14:editId="3A987D18">
            <wp:extent cx="231927" cy="138430"/>
            <wp:effectExtent l="0" t="0" r="0" b="0"/>
            <wp:docPr id="10947383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000C368A" w:rsidRPr="00434F20">
        <w:rPr>
          <w:rFonts w:ascii="Century Gothic" w:hAnsi="Century Gothic"/>
          <w:color w:val="222222"/>
          <w:shd w:val="clear" w:color="auto" w:fill="FFFFFF"/>
        </w:rPr>
        <w:t xml:space="preserve"> </w:t>
      </w:r>
      <w:r w:rsidRPr="00434F20">
        <w:rPr>
          <w:rFonts w:ascii="Century Gothic" w:hAnsi="Century Gothic"/>
          <w:color w:val="222222"/>
          <w:shd w:val="clear" w:color="auto" w:fill="FFFFFF"/>
        </w:rPr>
        <w:t>“in the place which He shall choose” (</w:t>
      </w:r>
      <w:r w:rsidR="00752B63" w:rsidRPr="00434F20">
        <w:rPr>
          <w:rFonts w:ascii="Century Gothic" w:hAnsi="Century Gothic"/>
          <w:color w:val="222222"/>
          <w:shd w:val="clear" w:color="auto" w:fill="FFFFFF"/>
        </w:rPr>
        <w:t>where</w:t>
      </w:r>
      <w:r w:rsidR="00752B63">
        <w:rPr>
          <w:rFonts w:ascii="Century Gothic" w:hAnsi="Century Gothic"/>
          <w:color w:val="222222"/>
          <w:shd w:val="clear" w:color="auto" w:fill="FFFFFF"/>
        </w:rPr>
        <w:t>ver</w:t>
      </w:r>
      <w:r w:rsidRPr="00434F20">
        <w:rPr>
          <w:rFonts w:ascii="Century Gothic" w:hAnsi="Century Gothic"/>
          <w:color w:val="222222"/>
          <w:shd w:val="clear" w:color="auto" w:fill="FFFFFF"/>
        </w:rPr>
        <w:t xml:space="preserve"> the Tabernacle </w:t>
      </w:r>
      <w:r w:rsidR="00752B63">
        <w:rPr>
          <w:rFonts w:ascii="Century Gothic" w:hAnsi="Century Gothic"/>
          <w:color w:val="222222"/>
          <w:shd w:val="clear" w:color="auto" w:fill="FFFFFF"/>
        </w:rPr>
        <w:t>was</w:t>
      </w:r>
      <w:r w:rsidRPr="00434F20">
        <w:rPr>
          <w:rFonts w:ascii="Century Gothic" w:hAnsi="Century Gothic"/>
          <w:color w:val="222222"/>
          <w:shd w:val="clear" w:color="auto" w:fill="FFFFFF"/>
        </w:rPr>
        <w:t xml:space="preserve"> set up).</w:t>
      </w:r>
    </w:p>
    <w:p w14:paraId="0300884F" w14:textId="4AAEF5FD" w:rsidR="00434F20" w:rsidRPr="00434F20" w:rsidRDefault="00434F20" w:rsidP="00434F20">
      <w:pPr>
        <w:numPr>
          <w:ilvl w:val="0"/>
          <w:numId w:val="8"/>
        </w:numPr>
        <w:rPr>
          <w:rFonts w:ascii="Century Gothic" w:hAnsi="Century Gothic"/>
          <w:color w:val="222222"/>
          <w:shd w:val="clear" w:color="auto" w:fill="FFFFFF"/>
        </w:rPr>
      </w:pPr>
      <w:r w:rsidRPr="00434F20">
        <w:rPr>
          <w:rFonts w:ascii="Century Gothic" w:hAnsi="Century Gothic"/>
          <w:b/>
          <w:bCs/>
          <w:color w:val="222222"/>
          <w:shd w:val="clear" w:color="auto" w:fill="FFFFFF"/>
        </w:rPr>
        <w:t>The Dwelling</w:t>
      </w:r>
      <w:r w:rsidRPr="00434F20">
        <w:rPr>
          <w:rFonts w:ascii="Century Gothic" w:hAnsi="Century Gothic"/>
          <w:color w:val="222222"/>
          <w:shd w:val="clear" w:color="auto" w:fill="FFFFFF"/>
        </w:rPr>
        <w:t>: All people were to live in temporary booths for seven days.</w:t>
      </w:r>
    </w:p>
    <w:p w14:paraId="4679FCBD" w14:textId="2806875F" w:rsidR="00434F20" w:rsidRPr="00434F20" w:rsidRDefault="00434F20" w:rsidP="00434F20">
      <w:pPr>
        <w:numPr>
          <w:ilvl w:val="0"/>
          <w:numId w:val="8"/>
        </w:numPr>
        <w:rPr>
          <w:rFonts w:ascii="Century Gothic" w:hAnsi="Century Gothic"/>
          <w:color w:val="222222"/>
          <w:shd w:val="clear" w:color="auto" w:fill="FFFFFF"/>
        </w:rPr>
      </w:pPr>
      <w:r w:rsidRPr="00434F20">
        <w:rPr>
          <w:rFonts w:ascii="Century Gothic" w:hAnsi="Century Gothic"/>
          <w:b/>
          <w:bCs/>
          <w:color w:val="222222"/>
          <w:shd w:val="clear" w:color="auto" w:fill="FFFFFF"/>
        </w:rPr>
        <w:t>The Security</w:t>
      </w:r>
      <w:r w:rsidRPr="00434F20">
        <w:rPr>
          <w:rFonts w:ascii="Century Gothic" w:hAnsi="Century Gothic"/>
          <w:color w:val="222222"/>
          <w:shd w:val="clear" w:color="auto" w:fill="FFFFFF"/>
        </w:rPr>
        <w:t>: </w:t>
      </w:r>
      <w:r w:rsidRPr="00434F20">
        <w:rPr>
          <w:rFonts w:ascii="Century Gothic" w:hAnsi="Century Gothic"/>
          <w:i/>
          <w:iCs/>
          <w:color w:val="222222"/>
          <w:shd w:val="clear" w:color="auto" w:fill="FFFFFF"/>
        </w:rPr>
        <w:t>Exodus 34:24</w:t>
      </w:r>
      <w:r w:rsidRPr="00434F20">
        <w:rPr>
          <w:rFonts w:ascii="Century Gothic" w:hAnsi="Century Gothic"/>
          <w:color w:val="222222"/>
          <w:shd w:val="clear" w:color="auto" w:fill="FFFFFF"/>
        </w:rPr>
        <w:t xml:space="preserve"> promises </w:t>
      </w:r>
      <w:proofErr w:type="gramStart"/>
      <w:r w:rsidRPr="00434F20">
        <w:rPr>
          <w:rFonts w:ascii="Century Gothic" w:hAnsi="Century Gothic"/>
          <w:color w:val="222222"/>
          <w:shd w:val="clear" w:color="auto" w:fill="FFFFFF"/>
        </w:rPr>
        <w:t>protection—no</w:t>
      </w:r>
      <w:proofErr w:type="gramEnd"/>
      <w:r w:rsidRPr="00434F20">
        <w:rPr>
          <w:rFonts w:ascii="Century Gothic" w:hAnsi="Century Gothic"/>
          <w:color w:val="222222"/>
          <w:shd w:val="clear" w:color="auto" w:fill="FFFFFF"/>
        </w:rPr>
        <w:t xml:space="preserve"> one would covet their land while they journeyed to appear before the Sovereign</w:t>
      </w:r>
      <w:r w:rsidR="00EC1386">
        <w:rPr>
          <w:rFonts w:ascii="Century Gothic" w:hAnsi="Century Gothic"/>
          <w:color w:val="222222"/>
          <w:shd w:val="clear" w:color="auto" w:fill="FFFFFF"/>
        </w:rPr>
        <w:t xml:space="preserve"> ONE, </w:t>
      </w:r>
      <w:r w:rsidR="00EC1386" w:rsidRPr="00BB3B9B">
        <w:rPr>
          <w:rFonts w:ascii="Biome" w:eastAsia="Cavolini" w:hAnsi="Biome" w:cs="Biome"/>
          <w:b/>
          <w:bCs/>
          <w:noProof/>
        </w:rPr>
        <w:drawing>
          <wp:inline distT="0" distB="0" distL="0" distR="0" wp14:anchorId="1D842074" wp14:editId="70DDCCEB">
            <wp:extent cx="231927" cy="138430"/>
            <wp:effectExtent l="0" t="0" r="0" b="0"/>
            <wp:docPr id="1608608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Pr="00434F20">
        <w:rPr>
          <w:rFonts w:ascii="Century Gothic" w:hAnsi="Century Gothic"/>
          <w:color w:val="222222"/>
          <w:shd w:val="clear" w:color="auto" w:fill="FFFFFF"/>
        </w:rPr>
        <w:t>.</w:t>
      </w:r>
    </w:p>
    <w:p w14:paraId="50E1C7C9" w14:textId="77777777" w:rsidR="00434F20" w:rsidRPr="00434F20" w:rsidRDefault="00434F20" w:rsidP="00434F20">
      <w:pPr>
        <w:rPr>
          <w:rFonts w:ascii="Century Gothic" w:hAnsi="Century Gothic"/>
          <w:b/>
          <w:bCs/>
          <w:color w:val="222222"/>
          <w:shd w:val="clear" w:color="auto" w:fill="FFFFFF"/>
        </w:rPr>
      </w:pPr>
      <w:r w:rsidRPr="00434F20">
        <w:rPr>
          <w:rFonts w:ascii="Century Gothic" w:hAnsi="Century Gothic"/>
          <w:b/>
          <w:bCs/>
          <w:color w:val="222222"/>
          <w:shd w:val="clear" w:color="auto" w:fill="FFFFFF"/>
        </w:rPr>
        <w:t>The Purpose of Leaving Home</w:t>
      </w:r>
    </w:p>
    <w:p w14:paraId="00BA54CC" w14:textId="77777777" w:rsidR="00434F20" w:rsidRPr="00434F20" w:rsidRDefault="00434F20" w:rsidP="00434F20">
      <w:pPr>
        <w:rPr>
          <w:rFonts w:ascii="Century Gothic" w:hAnsi="Century Gothic"/>
          <w:color w:val="222222"/>
          <w:shd w:val="clear" w:color="auto" w:fill="FFFFFF"/>
        </w:rPr>
      </w:pPr>
      <w:r w:rsidRPr="00434F20">
        <w:rPr>
          <w:rFonts w:ascii="Century Gothic" w:hAnsi="Century Gothic"/>
          <w:color w:val="222222"/>
          <w:shd w:val="clear" w:color="auto" w:fill="FFFFFF"/>
        </w:rPr>
        <w:t xml:space="preserve">The command </w:t>
      </w:r>
      <w:proofErr w:type="gramStart"/>
      <w:r w:rsidRPr="00434F20">
        <w:rPr>
          <w:rFonts w:ascii="Century Gothic" w:hAnsi="Century Gothic"/>
          <w:color w:val="222222"/>
          <w:shd w:val="clear" w:color="auto" w:fill="FFFFFF"/>
        </w:rPr>
        <w:t>to live</w:t>
      </w:r>
      <w:proofErr w:type="gramEnd"/>
      <w:r w:rsidRPr="00434F20">
        <w:rPr>
          <w:rFonts w:ascii="Century Gothic" w:hAnsi="Century Gothic"/>
          <w:color w:val="222222"/>
          <w:shd w:val="clear" w:color="auto" w:fill="FFFFFF"/>
        </w:rPr>
        <w:t xml:space="preserve"> in temporary shelters had two key purposes:</w:t>
      </w:r>
    </w:p>
    <w:p w14:paraId="0753C35F" w14:textId="77777777" w:rsidR="00434F20" w:rsidRPr="00434F20" w:rsidRDefault="00434F20" w:rsidP="00434F20">
      <w:pPr>
        <w:numPr>
          <w:ilvl w:val="0"/>
          <w:numId w:val="9"/>
        </w:numPr>
        <w:rPr>
          <w:rFonts w:ascii="Century Gothic" w:hAnsi="Century Gothic"/>
          <w:color w:val="222222"/>
          <w:shd w:val="clear" w:color="auto" w:fill="FFFFFF"/>
        </w:rPr>
      </w:pPr>
      <w:r w:rsidRPr="00434F20">
        <w:rPr>
          <w:rFonts w:ascii="Century Gothic" w:hAnsi="Century Gothic"/>
          <w:b/>
          <w:bCs/>
          <w:color w:val="222222"/>
          <w:shd w:val="clear" w:color="auto" w:fill="FFFFFF"/>
        </w:rPr>
        <w:t>To Remember</w:t>
      </w:r>
      <w:r w:rsidRPr="00434F20">
        <w:rPr>
          <w:rFonts w:ascii="Century Gothic" w:hAnsi="Century Gothic"/>
          <w:color w:val="222222"/>
          <w:shd w:val="clear" w:color="auto" w:fill="FFFFFF"/>
        </w:rPr>
        <w:t> – It served as a memorial of how the Israelites lived in temporary dwellings during their journey from Egypt.</w:t>
      </w:r>
    </w:p>
    <w:p w14:paraId="337ABBE6" w14:textId="40291512" w:rsidR="00434F20" w:rsidRPr="00434F20" w:rsidRDefault="00434F20" w:rsidP="00434F20">
      <w:pPr>
        <w:numPr>
          <w:ilvl w:val="0"/>
          <w:numId w:val="9"/>
        </w:numPr>
        <w:rPr>
          <w:rFonts w:ascii="Century Gothic" w:hAnsi="Century Gothic"/>
          <w:color w:val="222222"/>
          <w:shd w:val="clear" w:color="auto" w:fill="FFFFFF"/>
        </w:rPr>
      </w:pPr>
      <w:r w:rsidRPr="00434F20">
        <w:rPr>
          <w:rFonts w:ascii="Century Gothic" w:hAnsi="Century Gothic"/>
          <w:b/>
          <w:bCs/>
          <w:color w:val="222222"/>
          <w:shd w:val="clear" w:color="auto" w:fill="FFFFFF"/>
        </w:rPr>
        <w:t>To Depend</w:t>
      </w:r>
      <w:r w:rsidRPr="00434F20">
        <w:rPr>
          <w:rFonts w:ascii="Century Gothic" w:hAnsi="Century Gothic"/>
          <w:color w:val="222222"/>
          <w:shd w:val="clear" w:color="auto" w:fill="FFFFFF"/>
        </w:rPr>
        <w:t xml:space="preserve"> – Leaving the security of their permanent homes reminded the people to trust entirely in </w:t>
      </w:r>
      <w:r w:rsidR="00EC1386" w:rsidRPr="00BB3B9B">
        <w:rPr>
          <w:rFonts w:ascii="Biome" w:eastAsia="Cavolini" w:hAnsi="Biome" w:cs="Biome"/>
          <w:b/>
          <w:bCs/>
          <w:noProof/>
        </w:rPr>
        <w:drawing>
          <wp:inline distT="0" distB="0" distL="0" distR="0" wp14:anchorId="031A188D" wp14:editId="1B2C97DE">
            <wp:extent cx="231927" cy="138430"/>
            <wp:effectExtent l="0" t="0" r="0" b="0"/>
            <wp:docPr id="17211405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Pr="00434F20">
        <w:rPr>
          <w:rFonts w:ascii="Century Gothic" w:hAnsi="Century Gothic"/>
          <w:color w:val="222222"/>
          <w:shd w:val="clear" w:color="auto" w:fill="FFFFFF"/>
        </w:rPr>
        <w:t>’s protection and provision.</w:t>
      </w:r>
    </w:p>
    <w:p w14:paraId="0687483A" w14:textId="26AE880C" w:rsidR="00434F20" w:rsidRPr="00434F20" w:rsidRDefault="00434F20" w:rsidP="00434F20">
      <w:pPr>
        <w:rPr>
          <w:rFonts w:ascii="Century Gothic" w:hAnsi="Century Gothic"/>
          <w:color w:val="222222"/>
          <w:shd w:val="clear" w:color="auto" w:fill="FFFFFF"/>
        </w:rPr>
      </w:pPr>
      <w:r w:rsidRPr="00434F20">
        <w:rPr>
          <w:rFonts w:ascii="Century Gothic" w:hAnsi="Century Gothic"/>
          <w:color w:val="222222"/>
          <w:shd w:val="clear" w:color="auto" w:fill="FFFFFF"/>
        </w:rPr>
        <w:t>Thus, although the structure of the </w:t>
      </w:r>
      <w:r w:rsidRPr="00434F20">
        <w:rPr>
          <w:rFonts w:ascii="Century Gothic" w:hAnsi="Century Gothic"/>
          <w:i/>
          <w:iCs/>
          <w:color w:val="222222"/>
          <w:shd w:val="clear" w:color="auto" w:fill="FFFFFF"/>
        </w:rPr>
        <w:t>booth</w:t>
      </w:r>
      <w:r w:rsidRPr="00434F20">
        <w:rPr>
          <w:rFonts w:ascii="Century Gothic" w:hAnsi="Century Gothic"/>
          <w:color w:val="222222"/>
          <w:shd w:val="clear" w:color="auto" w:fill="FFFFFF"/>
        </w:rPr>
        <w:t xml:space="preserve"> was </w:t>
      </w:r>
      <w:r w:rsidR="00636A2A" w:rsidRPr="00636A2A">
        <w:rPr>
          <w:rFonts w:ascii="Century Gothic" w:hAnsi="Century Gothic"/>
          <w:color w:val="222222"/>
          <w:shd w:val="clear" w:color="auto" w:fill="FFFFFF"/>
        </w:rPr>
        <w:t>simply</w:t>
      </w:r>
      <w:r w:rsidR="00636A2A">
        <w:rPr>
          <w:rFonts w:ascii="Century Gothic" w:hAnsi="Century Gothic"/>
          <w:color w:val="222222"/>
          <w:shd w:val="clear" w:color="auto" w:fill="FFFFFF"/>
        </w:rPr>
        <w:t xml:space="preserve"> </w:t>
      </w:r>
      <w:r w:rsidRPr="00434F20">
        <w:rPr>
          <w:rFonts w:ascii="Century Gothic" w:hAnsi="Century Gothic"/>
          <w:color w:val="222222"/>
          <w:shd w:val="clear" w:color="auto" w:fill="FFFFFF"/>
        </w:rPr>
        <w:t>the</w:t>
      </w:r>
      <w:r w:rsidR="00EE18D3">
        <w:rPr>
          <w:rFonts w:ascii="Century Gothic" w:hAnsi="Century Gothic"/>
          <w:color w:val="222222"/>
          <w:shd w:val="clear" w:color="auto" w:fill="FFFFFF"/>
        </w:rPr>
        <w:t xml:space="preserve"> appointed time</w:t>
      </w:r>
      <w:r w:rsidR="002B303F">
        <w:rPr>
          <w:rFonts w:ascii="Century Gothic" w:hAnsi="Century Gothic"/>
          <w:color w:val="222222"/>
          <w:shd w:val="clear" w:color="auto" w:fill="FFFFFF"/>
        </w:rPr>
        <w:t xml:space="preserve"> for the</w:t>
      </w:r>
      <w:r w:rsidRPr="00434F20">
        <w:rPr>
          <w:rFonts w:ascii="Century Gothic" w:hAnsi="Century Gothic"/>
          <w:color w:val="222222"/>
          <w:shd w:val="clear" w:color="auto" w:fill="FFFFFF"/>
        </w:rPr>
        <w:t> </w:t>
      </w:r>
      <w:r w:rsidRPr="00434F20">
        <w:rPr>
          <w:rFonts w:ascii="Century Gothic" w:hAnsi="Century Gothic"/>
          <w:b/>
          <w:bCs/>
          <w:color w:val="222222"/>
          <w:shd w:val="clear" w:color="auto" w:fill="FFFFFF"/>
        </w:rPr>
        <w:t xml:space="preserve">Festival of </w:t>
      </w:r>
      <w:r w:rsidR="00EC1386">
        <w:rPr>
          <w:rFonts w:ascii="Century Gothic" w:hAnsi="Century Gothic"/>
          <w:b/>
          <w:bCs/>
          <w:color w:val="222222"/>
          <w:shd w:val="clear" w:color="auto" w:fill="FFFFFF"/>
        </w:rPr>
        <w:t>Ingathering</w:t>
      </w:r>
      <w:r w:rsidRPr="00434F20">
        <w:rPr>
          <w:rFonts w:ascii="Century Gothic" w:hAnsi="Century Gothic"/>
          <w:color w:val="222222"/>
          <w:shd w:val="clear" w:color="auto" w:fill="FFFFFF"/>
        </w:rPr>
        <w:t>, joyful community gathering that united the people in worship, thanksgiving, and remembrance</w:t>
      </w:r>
      <w:r w:rsidR="00EE18D3">
        <w:rPr>
          <w:rFonts w:ascii="Century Gothic" w:hAnsi="Century Gothic"/>
          <w:color w:val="222222"/>
          <w:shd w:val="clear" w:color="auto" w:fill="FFFFFF"/>
        </w:rPr>
        <w:t xml:space="preserve"> of </w:t>
      </w:r>
      <w:r w:rsidR="00EE18D3" w:rsidRPr="00BB3B9B">
        <w:rPr>
          <w:rFonts w:ascii="Biome" w:eastAsia="Cavolini" w:hAnsi="Biome" w:cs="Biome"/>
          <w:b/>
          <w:bCs/>
          <w:noProof/>
        </w:rPr>
        <w:drawing>
          <wp:inline distT="0" distB="0" distL="0" distR="0" wp14:anchorId="68BEC9CF" wp14:editId="7A50FC16">
            <wp:extent cx="231927" cy="138430"/>
            <wp:effectExtent l="0" t="0" r="0" b="0"/>
            <wp:docPr id="5683012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00A317EA">
        <w:rPr>
          <w:rFonts w:ascii="Century Gothic" w:hAnsi="Century Gothic"/>
          <w:color w:val="222222"/>
          <w:shd w:val="clear" w:color="auto" w:fill="FFFFFF"/>
        </w:rPr>
        <w:t>’s creation as well</w:t>
      </w:r>
      <w:r w:rsidRPr="00434F20">
        <w:rPr>
          <w:rFonts w:ascii="Century Gothic" w:hAnsi="Century Gothic"/>
          <w:color w:val="222222"/>
          <w:shd w:val="clear" w:color="auto" w:fill="FFFFFF"/>
        </w:rPr>
        <w:t>.</w:t>
      </w:r>
    </w:p>
    <w:p w14:paraId="2251CB62" w14:textId="54A72E5D" w:rsidR="00FB3567" w:rsidRPr="00C977BB" w:rsidRDefault="00FB3567" w:rsidP="00434F20">
      <w:pPr>
        <w:rPr>
          <w:sz w:val="20"/>
          <w:szCs w:val="20"/>
        </w:rPr>
      </w:pPr>
    </w:p>
    <w:sectPr w:rsidR="00FB3567" w:rsidRPr="00C9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2CF4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YHUH" style="width:33.55pt;height:14.95pt;visibility:visible;mso-wrap-style:square" o:bullet="t">
        <v:imagedata r:id="rId1" o:title="YHUH" croptop="11173f" cropbottom="10332f" cropleft="1817f"/>
      </v:shape>
    </w:pict>
  </w:numPicBullet>
  <w:abstractNum w:abstractNumId="0" w15:restartNumberingAfterBreak="0">
    <w:nsid w:val="0E79676E"/>
    <w:multiLevelType w:val="multilevel"/>
    <w:tmpl w:val="7E18D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94704"/>
    <w:multiLevelType w:val="multilevel"/>
    <w:tmpl w:val="34D6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C6E52"/>
    <w:multiLevelType w:val="multilevel"/>
    <w:tmpl w:val="3FC0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1038CB"/>
    <w:multiLevelType w:val="hybridMultilevel"/>
    <w:tmpl w:val="1DA49102"/>
    <w:lvl w:ilvl="0" w:tplc="5FC09F02">
      <w:start w:val="1"/>
      <w:numFmt w:val="bullet"/>
      <w:lvlText w:val=""/>
      <w:lvlPicBulletId w:val="0"/>
      <w:lvlJc w:val="left"/>
      <w:pPr>
        <w:tabs>
          <w:tab w:val="num" w:pos="720"/>
        </w:tabs>
        <w:ind w:left="720" w:hanging="360"/>
      </w:pPr>
      <w:rPr>
        <w:rFonts w:ascii="Symbol" w:hAnsi="Symbol" w:hint="default"/>
      </w:rPr>
    </w:lvl>
    <w:lvl w:ilvl="1" w:tplc="CF7A1FFA" w:tentative="1">
      <w:start w:val="1"/>
      <w:numFmt w:val="bullet"/>
      <w:lvlText w:val=""/>
      <w:lvlJc w:val="left"/>
      <w:pPr>
        <w:tabs>
          <w:tab w:val="num" w:pos="1440"/>
        </w:tabs>
        <w:ind w:left="1440" w:hanging="360"/>
      </w:pPr>
      <w:rPr>
        <w:rFonts w:ascii="Symbol" w:hAnsi="Symbol" w:hint="default"/>
      </w:rPr>
    </w:lvl>
    <w:lvl w:ilvl="2" w:tplc="2472A260" w:tentative="1">
      <w:start w:val="1"/>
      <w:numFmt w:val="bullet"/>
      <w:lvlText w:val=""/>
      <w:lvlJc w:val="left"/>
      <w:pPr>
        <w:tabs>
          <w:tab w:val="num" w:pos="2160"/>
        </w:tabs>
        <w:ind w:left="2160" w:hanging="360"/>
      </w:pPr>
      <w:rPr>
        <w:rFonts w:ascii="Symbol" w:hAnsi="Symbol" w:hint="default"/>
      </w:rPr>
    </w:lvl>
    <w:lvl w:ilvl="3" w:tplc="B582AF90" w:tentative="1">
      <w:start w:val="1"/>
      <w:numFmt w:val="bullet"/>
      <w:lvlText w:val=""/>
      <w:lvlJc w:val="left"/>
      <w:pPr>
        <w:tabs>
          <w:tab w:val="num" w:pos="2880"/>
        </w:tabs>
        <w:ind w:left="2880" w:hanging="360"/>
      </w:pPr>
      <w:rPr>
        <w:rFonts w:ascii="Symbol" w:hAnsi="Symbol" w:hint="default"/>
      </w:rPr>
    </w:lvl>
    <w:lvl w:ilvl="4" w:tplc="ACC0C2C8" w:tentative="1">
      <w:start w:val="1"/>
      <w:numFmt w:val="bullet"/>
      <w:lvlText w:val=""/>
      <w:lvlJc w:val="left"/>
      <w:pPr>
        <w:tabs>
          <w:tab w:val="num" w:pos="3600"/>
        </w:tabs>
        <w:ind w:left="3600" w:hanging="360"/>
      </w:pPr>
      <w:rPr>
        <w:rFonts w:ascii="Symbol" w:hAnsi="Symbol" w:hint="default"/>
      </w:rPr>
    </w:lvl>
    <w:lvl w:ilvl="5" w:tplc="21306EB6" w:tentative="1">
      <w:start w:val="1"/>
      <w:numFmt w:val="bullet"/>
      <w:lvlText w:val=""/>
      <w:lvlJc w:val="left"/>
      <w:pPr>
        <w:tabs>
          <w:tab w:val="num" w:pos="4320"/>
        </w:tabs>
        <w:ind w:left="4320" w:hanging="360"/>
      </w:pPr>
      <w:rPr>
        <w:rFonts w:ascii="Symbol" w:hAnsi="Symbol" w:hint="default"/>
      </w:rPr>
    </w:lvl>
    <w:lvl w:ilvl="6" w:tplc="C216748E" w:tentative="1">
      <w:start w:val="1"/>
      <w:numFmt w:val="bullet"/>
      <w:lvlText w:val=""/>
      <w:lvlJc w:val="left"/>
      <w:pPr>
        <w:tabs>
          <w:tab w:val="num" w:pos="5040"/>
        </w:tabs>
        <w:ind w:left="5040" w:hanging="360"/>
      </w:pPr>
      <w:rPr>
        <w:rFonts w:ascii="Symbol" w:hAnsi="Symbol" w:hint="default"/>
      </w:rPr>
    </w:lvl>
    <w:lvl w:ilvl="7" w:tplc="D5B04938" w:tentative="1">
      <w:start w:val="1"/>
      <w:numFmt w:val="bullet"/>
      <w:lvlText w:val=""/>
      <w:lvlJc w:val="left"/>
      <w:pPr>
        <w:tabs>
          <w:tab w:val="num" w:pos="5760"/>
        </w:tabs>
        <w:ind w:left="5760" w:hanging="360"/>
      </w:pPr>
      <w:rPr>
        <w:rFonts w:ascii="Symbol" w:hAnsi="Symbol" w:hint="default"/>
      </w:rPr>
    </w:lvl>
    <w:lvl w:ilvl="8" w:tplc="65969E3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0E8005D"/>
    <w:multiLevelType w:val="multilevel"/>
    <w:tmpl w:val="4712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60F23"/>
    <w:multiLevelType w:val="multilevel"/>
    <w:tmpl w:val="C27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46E60"/>
    <w:multiLevelType w:val="multilevel"/>
    <w:tmpl w:val="55C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D2656D"/>
    <w:multiLevelType w:val="multilevel"/>
    <w:tmpl w:val="B45C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E83E74"/>
    <w:multiLevelType w:val="multilevel"/>
    <w:tmpl w:val="3274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530886">
    <w:abstractNumId w:val="3"/>
  </w:num>
  <w:num w:numId="2" w16cid:durableId="614750773">
    <w:abstractNumId w:val="0"/>
  </w:num>
  <w:num w:numId="3" w16cid:durableId="1147015195">
    <w:abstractNumId w:val="8"/>
  </w:num>
  <w:num w:numId="4" w16cid:durableId="1959144783">
    <w:abstractNumId w:val="5"/>
  </w:num>
  <w:num w:numId="5" w16cid:durableId="2120102482">
    <w:abstractNumId w:val="1"/>
  </w:num>
  <w:num w:numId="6" w16cid:durableId="791248802">
    <w:abstractNumId w:val="7"/>
  </w:num>
  <w:num w:numId="7" w16cid:durableId="1080365969">
    <w:abstractNumId w:val="2"/>
  </w:num>
  <w:num w:numId="8" w16cid:durableId="527530825">
    <w:abstractNumId w:val="6"/>
  </w:num>
  <w:num w:numId="9" w16cid:durableId="37057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9F"/>
    <w:rsid w:val="00025D4B"/>
    <w:rsid w:val="00033C8D"/>
    <w:rsid w:val="00050853"/>
    <w:rsid w:val="00065374"/>
    <w:rsid w:val="000920FB"/>
    <w:rsid w:val="00095304"/>
    <w:rsid w:val="000A64F2"/>
    <w:rsid w:val="000A6CCD"/>
    <w:rsid w:val="000C368A"/>
    <w:rsid w:val="000E0358"/>
    <w:rsid w:val="000E0C98"/>
    <w:rsid w:val="000E6B57"/>
    <w:rsid w:val="000F53C4"/>
    <w:rsid w:val="00102C50"/>
    <w:rsid w:val="00106895"/>
    <w:rsid w:val="00114E4E"/>
    <w:rsid w:val="001165B1"/>
    <w:rsid w:val="0014131C"/>
    <w:rsid w:val="00143361"/>
    <w:rsid w:val="00145822"/>
    <w:rsid w:val="00151F1C"/>
    <w:rsid w:val="00154198"/>
    <w:rsid w:val="00155261"/>
    <w:rsid w:val="00163A65"/>
    <w:rsid w:val="0017047F"/>
    <w:rsid w:val="001713DC"/>
    <w:rsid w:val="001729A8"/>
    <w:rsid w:val="00175471"/>
    <w:rsid w:val="001770EB"/>
    <w:rsid w:val="00184922"/>
    <w:rsid w:val="001B7FC1"/>
    <w:rsid w:val="001C18A1"/>
    <w:rsid w:val="001C574D"/>
    <w:rsid w:val="0020020D"/>
    <w:rsid w:val="0020053C"/>
    <w:rsid w:val="00201D20"/>
    <w:rsid w:val="002258AA"/>
    <w:rsid w:val="0027102B"/>
    <w:rsid w:val="002963F2"/>
    <w:rsid w:val="002B303F"/>
    <w:rsid w:val="002C571C"/>
    <w:rsid w:val="002D74E5"/>
    <w:rsid w:val="002E537A"/>
    <w:rsid w:val="002F652B"/>
    <w:rsid w:val="00303A8B"/>
    <w:rsid w:val="00311FFD"/>
    <w:rsid w:val="00321C22"/>
    <w:rsid w:val="00325DD6"/>
    <w:rsid w:val="0034285C"/>
    <w:rsid w:val="0035751C"/>
    <w:rsid w:val="00396C27"/>
    <w:rsid w:val="003A3077"/>
    <w:rsid w:val="003E54A3"/>
    <w:rsid w:val="003E6407"/>
    <w:rsid w:val="00406B5B"/>
    <w:rsid w:val="00407AC0"/>
    <w:rsid w:val="00426945"/>
    <w:rsid w:val="00434F20"/>
    <w:rsid w:val="00445287"/>
    <w:rsid w:val="00447D2B"/>
    <w:rsid w:val="004879B2"/>
    <w:rsid w:val="00492232"/>
    <w:rsid w:val="004A1909"/>
    <w:rsid w:val="004C605B"/>
    <w:rsid w:val="004D320B"/>
    <w:rsid w:val="004E45AB"/>
    <w:rsid w:val="005151BC"/>
    <w:rsid w:val="00537628"/>
    <w:rsid w:val="00542C1B"/>
    <w:rsid w:val="00577AAB"/>
    <w:rsid w:val="00592506"/>
    <w:rsid w:val="00593C6B"/>
    <w:rsid w:val="005B015B"/>
    <w:rsid w:val="005C4856"/>
    <w:rsid w:val="005E095A"/>
    <w:rsid w:val="0060188B"/>
    <w:rsid w:val="006149FA"/>
    <w:rsid w:val="00636A2A"/>
    <w:rsid w:val="0064376A"/>
    <w:rsid w:val="00643CC7"/>
    <w:rsid w:val="00655DFC"/>
    <w:rsid w:val="00662D45"/>
    <w:rsid w:val="00694620"/>
    <w:rsid w:val="006C6FFE"/>
    <w:rsid w:val="006D71D0"/>
    <w:rsid w:val="006E39E9"/>
    <w:rsid w:val="006E6663"/>
    <w:rsid w:val="0070523C"/>
    <w:rsid w:val="00727F8F"/>
    <w:rsid w:val="007529FE"/>
    <w:rsid w:val="00752B63"/>
    <w:rsid w:val="00760CAF"/>
    <w:rsid w:val="0076175E"/>
    <w:rsid w:val="007663C8"/>
    <w:rsid w:val="007861CB"/>
    <w:rsid w:val="0079540C"/>
    <w:rsid w:val="007B2DB3"/>
    <w:rsid w:val="007D3CD7"/>
    <w:rsid w:val="007E49A2"/>
    <w:rsid w:val="008119F2"/>
    <w:rsid w:val="008149B2"/>
    <w:rsid w:val="00814A81"/>
    <w:rsid w:val="00883778"/>
    <w:rsid w:val="00891E2C"/>
    <w:rsid w:val="008935AF"/>
    <w:rsid w:val="00897F03"/>
    <w:rsid w:val="008E4A76"/>
    <w:rsid w:val="008F65FA"/>
    <w:rsid w:val="009143C0"/>
    <w:rsid w:val="00915167"/>
    <w:rsid w:val="009237FC"/>
    <w:rsid w:val="00934494"/>
    <w:rsid w:val="00946FFC"/>
    <w:rsid w:val="009556A9"/>
    <w:rsid w:val="00972B1E"/>
    <w:rsid w:val="009937A2"/>
    <w:rsid w:val="009B5F26"/>
    <w:rsid w:val="009F09D3"/>
    <w:rsid w:val="00A01156"/>
    <w:rsid w:val="00A1551C"/>
    <w:rsid w:val="00A17AF6"/>
    <w:rsid w:val="00A262B5"/>
    <w:rsid w:val="00A317EA"/>
    <w:rsid w:val="00A35D49"/>
    <w:rsid w:val="00A616D1"/>
    <w:rsid w:val="00A954CA"/>
    <w:rsid w:val="00AA1C91"/>
    <w:rsid w:val="00AA2B24"/>
    <w:rsid w:val="00AB562D"/>
    <w:rsid w:val="00AD2D6C"/>
    <w:rsid w:val="00AF15A5"/>
    <w:rsid w:val="00B02808"/>
    <w:rsid w:val="00B56E9F"/>
    <w:rsid w:val="00B84C75"/>
    <w:rsid w:val="00B91F2D"/>
    <w:rsid w:val="00BA1023"/>
    <w:rsid w:val="00BA1816"/>
    <w:rsid w:val="00BB2B5E"/>
    <w:rsid w:val="00BB2CEE"/>
    <w:rsid w:val="00BE6C58"/>
    <w:rsid w:val="00C07AC2"/>
    <w:rsid w:val="00C1095E"/>
    <w:rsid w:val="00C14013"/>
    <w:rsid w:val="00C546E6"/>
    <w:rsid w:val="00C61F55"/>
    <w:rsid w:val="00C64E76"/>
    <w:rsid w:val="00C73437"/>
    <w:rsid w:val="00C865EF"/>
    <w:rsid w:val="00C93B5F"/>
    <w:rsid w:val="00C977BB"/>
    <w:rsid w:val="00CA24E6"/>
    <w:rsid w:val="00CA507B"/>
    <w:rsid w:val="00CC15CE"/>
    <w:rsid w:val="00CC525E"/>
    <w:rsid w:val="00CC7317"/>
    <w:rsid w:val="00CC7A3C"/>
    <w:rsid w:val="00D052F1"/>
    <w:rsid w:val="00D276AC"/>
    <w:rsid w:val="00D545FC"/>
    <w:rsid w:val="00D65BB4"/>
    <w:rsid w:val="00D75165"/>
    <w:rsid w:val="00D82AAF"/>
    <w:rsid w:val="00D8779E"/>
    <w:rsid w:val="00DA6105"/>
    <w:rsid w:val="00DC53E0"/>
    <w:rsid w:val="00DD057D"/>
    <w:rsid w:val="00DF3E2F"/>
    <w:rsid w:val="00E0447B"/>
    <w:rsid w:val="00E236F1"/>
    <w:rsid w:val="00E35245"/>
    <w:rsid w:val="00E462D6"/>
    <w:rsid w:val="00E55A4C"/>
    <w:rsid w:val="00E64E1E"/>
    <w:rsid w:val="00E654D9"/>
    <w:rsid w:val="00E92F22"/>
    <w:rsid w:val="00EA2047"/>
    <w:rsid w:val="00EA2070"/>
    <w:rsid w:val="00EA6F72"/>
    <w:rsid w:val="00EB2156"/>
    <w:rsid w:val="00EC1386"/>
    <w:rsid w:val="00EC7206"/>
    <w:rsid w:val="00EC7CCC"/>
    <w:rsid w:val="00EE18D3"/>
    <w:rsid w:val="00EE308A"/>
    <w:rsid w:val="00EE5FD1"/>
    <w:rsid w:val="00EE6128"/>
    <w:rsid w:val="00F06C8B"/>
    <w:rsid w:val="00F12425"/>
    <w:rsid w:val="00F253F2"/>
    <w:rsid w:val="00F40649"/>
    <w:rsid w:val="00F63369"/>
    <w:rsid w:val="00FA0D3A"/>
    <w:rsid w:val="00FB00A2"/>
    <w:rsid w:val="00FB3567"/>
    <w:rsid w:val="00FB7C21"/>
    <w:rsid w:val="00FF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2066"/>
  <w15:chartTrackingRefBased/>
  <w15:docId w15:val="{D1AEBB7D-8AC5-43C4-A88E-494EF71A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156"/>
    <w:rPr>
      <w:color w:val="0563C1" w:themeColor="hyperlink"/>
      <w:u w:val="single"/>
    </w:rPr>
  </w:style>
  <w:style w:type="character" w:styleId="UnresolvedMention">
    <w:name w:val="Unresolved Mention"/>
    <w:basedOn w:val="DefaultParagraphFont"/>
    <w:uiPriority w:val="99"/>
    <w:semiHidden/>
    <w:unhideWhenUsed/>
    <w:rsid w:val="00A01156"/>
    <w:rPr>
      <w:color w:val="605E5C"/>
      <w:shd w:val="clear" w:color="auto" w:fill="E1DFDD"/>
    </w:rPr>
  </w:style>
  <w:style w:type="character" w:customStyle="1" w:styleId="small-caps">
    <w:name w:val="small-caps"/>
    <w:basedOn w:val="DefaultParagraphFont"/>
    <w:rsid w:val="00934494"/>
  </w:style>
  <w:style w:type="paragraph" w:styleId="ListParagraph">
    <w:name w:val="List Paragraph"/>
    <w:basedOn w:val="Normal"/>
    <w:uiPriority w:val="34"/>
    <w:qFormat/>
    <w:rsid w:val="00915167"/>
    <w:pPr>
      <w:ind w:left="720"/>
      <w:contextualSpacing/>
    </w:pPr>
  </w:style>
  <w:style w:type="paragraph" w:customStyle="1" w:styleId="gmail-msolistparagraph">
    <w:name w:val="gmail-msolistparagraph"/>
    <w:basedOn w:val="Normal"/>
    <w:rsid w:val="007E49A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2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60419">
      <w:bodyDiv w:val="1"/>
      <w:marLeft w:val="0"/>
      <w:marRight w:val="0"/>
      <w:marTop w:val="0"/>
      <w:marBottom w:val="0"/>
      <w:divBdr>
        <w:top w:val="none" w:sz="0" w:space="0" w:color="auto"/>
        <w:left w:val="none" w:sz="0" w:space="0" w:color="auto"/>
        <w:bottom w:val="none" w:sz="0" w:space="0" w:color="auto"/>
        <w:right w:val="none" w:sz="0" w:space="0" w:color="auto"/>
      </w:divBdr>
    </w:div>
    <w:div w:id="1063062511">
      <w:bodyDiv w:val="1"/>
      <w:marLeft w:val="0"/>
      <w:marRight w:val="0"/>
      <w:marTop w:val="0"/>
      <w:marBottom w:val="0"/>
      <w:divBdr>
        <w:top w:val="none" w:sz="0" w:space="0" w:color="auto"/>
        <w:left w:val="none" w:sz="0" w:space="0" w:color="auto"/>
        <w:bottom w:val="none" w:sz="0" w:space="0" w:color="auto"/>
        <w:right w:val="none" w:sz="0" w:space="0" w:color="auto"/>
      </w:divBdr>
    </w:div>
    <w:div w:id="1251155222">
      <w:bodyDiv w:val="1"/>
      <w:marLeft w:val="0"/>
      <w:marRight w:val="0"/>
      <w:marTop w:val="0"/>
      <w:marBottom w:val="0"/>
      <w:divBdr>
        <w:top w:val="none" w:sz="0" w:space="0" w:color="auto"/>
        <w:left w:val="none" w:sz="0" w:space="0" w:color="auto"/>
        <w:bottom w:val="none" w:sz="0" w:space="0" w:color="auto"/>
        <w:right w:val="none" w:sz="0" w:space="0" w:color="auto"/>
      </w:divBdr>
    </w:div>
    <w:div w:id="1309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f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7.jpg"/><Relationship Id="rId5" Type="http://schemas.openxmlformats.org/officeDocument/2006/relationships/image" Target="media/image2.jpeg"/><Relationship Id="rId10" Type="http://schemas.openxmlformats.org/officeDocument/2006/relationships/hyperlink" Target="https://www.biblegateway.com/passage/?search=Song+of+Solomon+1%3A5%3B+4%3A1%3B+2+Samuel+11%3A11%3B+Isaiah+50%3A3%3B+1+Kings+21%3A27%3B+2+Kings+19%3A1%2C+Dan.+9%3A3%2C+Jonah+3%3A5&amp;version=TLV;LEB;OJB;DRA" TargetMode="Externa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Pouliot</dc:creator>
  <cp:keywords/>
  <dc:description/>
  <cp:lastModifiedBy>Philip Pouliot</cp:lastModifiedBy>
  <cp:revision>2</cp:revision>
  <cp:lastPrinted>2022-10-11T22:12:00Z</cp:lastPrinted>
  <dcterms:created xsi:type="dcterms:W3CDTF">2026-04-09T02:20:00Z</dcterms:created>
  <dcterms:modified xsi:type="dcterms:W3CDTF">2026-04-09T02:20:00Z</dcterms:modified>
</cp:coreProperties>
</file>